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天津石油职业技术学院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培养高等专科学历技术应用人才，促进科技文化发展。业务范围是高等专科学历教育（石油工程、电子技术应用、机电一体化等）、科学研究、继续教育、专业培训、学术交流及相关社会服务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天津石油职业技术学院本级（内设14个职能处室，7个二级学院）。</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天津石油职业技术学院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160847340.00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228604356.90</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46658159.85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10553678.42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3696000.00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3107000.00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17720713.17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235779891.44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235409456.90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370434.54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9700000.00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9700000.00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245479891.44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245479891.44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235779891.44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160847340.00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57211838.27</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46658159.85</w:t>
            </w: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17720713.17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228974791.44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154042240.00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57211838.27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46658159.85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17720713.17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228974791.44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154042240.00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57211838.27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46658159.85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17720713.17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228974791.44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154042240.00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57211838.27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46658159.85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17720713.17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2464000.00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2464000.00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1232000.00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1232000.00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3107000.00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3107000.00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3107000.00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3107000.00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天津石油职业技术学院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245479891.44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235779891.44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160847340.00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46658159.85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10553678.42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17720713.17</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330231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天津石油职业技术学院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245479891.44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235779891.44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160847340.00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46658159.85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10553678.42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17720713.17</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天津石油职业技术学院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9700000.00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9700000.00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9700000.00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330231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天津石油职业技术学院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9700000.00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9700000.00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9700000.00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235409456.90</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209851245.75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25558211.15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228604356.90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203048245.75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25556111.15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228604356.90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203048245.75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25556111.15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高等职业教育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228604356.90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203048245.75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25556111.15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154042240.00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154042240.00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3696000.00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3696000.00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3107000.00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3107000.00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天津石油职业技术学院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160847340.00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137184000.00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104846000.00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32338000.00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23663340.00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154042240.00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98043000.00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23661240.00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154042240.00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98043000.00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23661240.00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高等职业教育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154042240.00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98043000.00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23661240.00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101820000.00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32338000.00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36691612.20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3775527.24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31919570.94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9210875.91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6802515.32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4207442.00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4440000.00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903594.70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6746856.00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1230000.00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1194005.69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3026000.00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1904000.00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4940000.00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1122000.00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1113000.00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104846000.00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32338000.00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天津石油职业技术学院2025年度政府性基金预算财政拨款收入支出决算表为空表。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天津石油职业技术学院2025年度国有资本经营预算财政拨款收入支出决算表为空表。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天津石油职业技术学院2025年财政拨款“三公”经费支出决算表为空表。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25558211.15</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23663340.00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25556111.15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23661240.00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25556111.15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23661240.00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25556111.15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23661240.00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现代职业教育质量提升计划资金-2025年中央专款-调整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5860900.00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5860900.00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学生资助补助经费-中央专款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8799700.00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8799700.00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学生资助政策体系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7699540.00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7699540.00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学生资助补助经费-中央专款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166400.00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166400.00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天津市高校落实《科教兴市人才强市行动方案》考核引导资金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现代职业教育质量提升计划资金-2025年中央专款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2025年非财政拨款项目（综合业务经费）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2025年一般债券利息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245,479,891.44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减少21,013,668.62元，下降7.89%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财政收支的减少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一般公共预算财政拨款收入160,847,340.00元、财政专户管理资金收入46,658,159.85元、事业收入10,553,678.42元、其他收入17,720,713.17元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教育支出228,604,356.90元、社会保障和就业支出3,696,000.00元、卫生健康支出3,107,000.00元、债务付息支出2,100.00元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235,779,891.44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减少12,550,178.01元，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财政收入的减少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一般公共预算财政拨款收入160,847,340.00元，占68.22%；财政专户管理资金收入46,658,159.85元，占19.79%；事业收入10,553,678.42元，占4.48%；其他收入17,720,713.17元，占7.51%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235,409,456.90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减少21,384,103.16元，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项目支出的减少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基本支出209,851,245.75元，占89.14%；项目支出25,558,211.15元，占10.86%</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160,847,340.00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增加12,075,524.00元，增长8.12%，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学生人数增加，增加相应的收支</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一般公共预算财政拨款160,847,340.00元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教育支出154,042,240.00元、社会保障和就业支出3,696,000.00元、卫生健康支出3,107,000.00元、债务付息支出2,100.00元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天津石油职业技术学院2025年度一般公共预算财政拨款支出合计160,847,340.00元，占本年支出合计的68.33%。与2024年度相比，一般公共预算财政拨款支出</w:t>
      </w:r>
      <w:r>
        <w:rPr>
          <w:rFonts w:eastAsia="仿宋_GB2312" w:hint="eastAsia"/>
          <w:sz w:val="30"/>
          <w:szCs w:val="30"/>
          <w:highlight w:val="none"/>
          <w:lang w:val="en-US" w:eastAsia="zh-CN"/>
        </w:rPr>
        <w:t xml:space="preserve">增加12,075,524.00元</w:t>
      </w:r>
      <w:r>
        <w:rPr>
          <w:rFonts w:eastAsia="仿宋_GB2312" w:hint="eastAsia"/>
          <w:sz w:val="30"/>
          <w:szCs w:val="30"/>
          <w:highlight w:val="none"/>
          <w:lang w:val="en-US" w:eastAsia="zh-CN"/>
        </w:rPr>
        <w:t xml:space="preserve">，增长8.12%</w:t>
      </w:r>
      <w:r>
        <w:rPr>
          <w:rFonts w:eastAsia="仿宋_GB2312" w:hint="eastAsia"/>
          <w:sz w:val="30"/>
          <w:szCs w:val="30"/>
          <w:highlight w:val="none"/>
          <w:lang w:val="en-US" w:eastAsia="zh-CN"/>
        </w:rPr>
        <w:t xml:space="preserve">，主要原因是学生人数增加，增加相应的支出。</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2025年度一般公共预算财政拨款支出160,847,340.00元，主要用于以下方面：</w:t>
      </w:r>
      <w:r>
        <w:rPr>
          <w:rFonts w:eastAsia="仿宋_GB2312" w:hint="eastAsia"/>
          <w:sz w:val="30"/>
          <w:szCs w:val="30"/>
          <w:highlight w:val="none"/>
        </w:rPr>
        <w:t xml:space="preserve">教育支出（类）支出154,042,240.00元，占95.77%，社会保障和就业支出（类）支出3,696,000.00元，占2.30%，卫生健康支出（类）支出3,107,000.00元，占1.93%，债务付息支出（类）支出2,100.00元，占0.00%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2025年度一般公共预算财政拨款支出年初预算为153,591,000.00元，支出决算为160,847,340.00元</w:t>
      </w:r>
      <w:r>
        <w:rPr>
          <w:rFonts w:eastAsia="仿宋_GB2312" w:hint="eastAsia"/>
          <w:sz w:val="30"/>
          <w:szCs w:val="30"/>
          <w:highlight w:val="none"/>
          <w:lang w:val="en-US" w:eastAsia="zh-CN"/>
        </w:rPr>
        <w:t xml:space="preserve">，完成年初预算的104.72%</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职业教育（款）高等职业教育（项）年初预算为146,785,900.00元，支出决算为154,042,240.00元，完成年初预算的104.94%，决算数大于年初预算数的主要原因是：比年初预算增加了现代职业教育质量提升计划资金及部分学生资助项目资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基本养老保险缴费支出（项）年初预算为2,464,000.00元，支出决算为2,464,000.00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职业年金缴费支出（项）年初预算为1,232,000.00元，支出决算为1,232,000.00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4.卫生健康支出（类）行政事业单位医疗（款）事业单位医疗（项）年初预算为1,617,000.00元，支出决算为1,617,000.00元，完成年初预算的100.00%，决算数与年初预算数持平的主要原因是：严格按照预算执行。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其他行政事业单位医疗支出（项）年初预算为1,490,000.00元，支出决算为1,490,000.00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债务付息支出（类）地方政府一般债务付息支出（款）地方政府一般债券付息支出（项）年初预算为2,100.00元，支出决算为2,100.00元，完成年初预算的100.00%，决算数与年初预算数持平的主要原因是：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天津石油职业技术学院2025年度一般公共预算财政拨款基本支出合计137,184,000.00元，与2024年度相比</w:t>
      </w:r>
      <w:r>
        <w:rPr>
          <w:rFonts w:eastAsia="仿宋_GB2312" w:hint="eastAsia"/>
          <w:sz w:val="30"/>
          <w:szCs w:val="30"/>
          <w:highlight w:val="none"/>
          <w:lang w:val="en-US" w:eastAsia="zh-CN"/>
        </w:rPr>
        <w:t xml:space="preserve">增加12,812,000.00元，</w:t>
      </w:r>
      <w:r>
        <w:rPr>
          <w:rFonts w:eastAsia="仿宋_GB2312" w:hint="eastAsia"/>
          <w:sz w:val="30"/>
          <w:szCs w:val="30"/>
          <w:highlight w:val="none"/>
          <w:lang w:val="en-US" w:eastAsia="zh-CN"/>
        </w:rPr>
        <w:t xml:space="preserve">主要原因是人员经费的增加。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人员经费104,846,000.00元，主要包括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基本工资、津贴补贴、绩效工资、机关事业单位基本养老保险缴费、职业年金缴费、职工基本医疗保险缴费、其他社会保障缴费、住房公积金、医疗费、其他工资福利支出、退休费、医疗费补助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公用经费32,338,000.00元，主要包括</w:t>
      </w:r>
      <w:r>
        <w:rPr>
          <w:rFonts w:eastAsia="仿宋_GB2312" w:hint="eastAsia"/>
          <w:sz w:val="30"/>
          <w:szCs w:val="30"/>
          <w:highlight w:val="none"/>
          <w:lang w:val="en-US" w:eastAsia="zh-CN"/>
        </w:rPr>
        <w:t xml:space="preserve">办公费、印刷费、手续费、水费、电费、邮电费、取暖费、物业管理费、维修(护)费、租赁费、培训费、专用材料费、劳务费、委托业务费、工会经费、福利费、其他商品和服务支出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支出决算较上年减少160,000.00元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决算数较上年减少的主要原因是本年度未用财政拨款经费列支。</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支出决算较上年减少120,000.00元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支出决算较上年减少120,000.00元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支出决算较上年减少40,000.00元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政府采购支出总额32,741,318.61元，其中：政府采购货物支出6,617,457.00元、政府采购工程支出7,627,144.00元、政府采购服务支出18,496,717.61元。授予中小企业合同金额32,723,348.61元，占政府采购支出总额的99.95%，其中：授予小微企业合同金额32,723,348.61元，占政府采购支出总额的99.95%；货物采购授予中小企业合同金额占货物支出金额的99.73%，工程采购授予中小企业合同金额占工程支出金额的100.00%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截至2025年12月31日，天津石油职业技术学院共有车辆13辆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其他用车13辆</w:t>
      </w:r>
      <w:r>
        <w:rPr>
          <w:rFonts w:eastAsia="仿宋_GB2312" w:hint="eastAsia"/>
          <w:sz w:val="30"/>
          <w:szCs w:val="30"/>
          <w:highlight w:val="none"/>
          <w:lang w:val="en-US" w:eastAsia="zh-CN"/>
        </w:rPr>
        <w:t xml:space="preserve">，其他用车主要包括清洁卫生用车、保安院内巡逻车 、绿化用车、办公用车等</w:t>
      </w:r>
      <w:r>
        <w:rPr>
          <w:rFonts w:eastAsia="仿宋_GB2312" w:hint="eastAsia"/>
          <w:sz w:val="30"/>
          <w:szCs w:val="30"/>
          <w:highlight w:val="none"/>
          <w:lang w:val="en-US" w:eastAsia="zh-CN"/>
        </w:rPr>
        <w:t xml:space="preserve">。单价100万元以上的设备17台（套）。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根据预算绩效管理要求，天津石油职业技术学院已对3个2025年度市级项目开展绩效自评，涉及金额8,402,100.00元，自评结果已随部门决算一并公开。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天津石油职业技术学院不属于乡、镇、街级单位，不涉及公开2025年度教育、医疗卫生、社会保障和就业、住房保障、涉农补贴等民生支出情况。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0A0C8A22-C0BF-4ACD-B440-81AC5E079265}"/>
    <w:embedBold r:id="rId2" w:subsetted="1" w:fontKey="{596A0427-E646-4D92-8009-3401559F329D}"/>
  </w:font>
  <w:font w:name="Cambria">
    <w:panose1 w:val="02040503050406030204"/>
    <w:charset w:val="00"/>
    <w:family w:val="roman"/>
    <w:pitch w:val="default"/>
    <w:sig w:usb0="E00006FF" w:usb1="420024FF" w:usb2="02000000" w:usb3="00000000" w:csb0="2000019F" w:csb1="00000000"/>
    <w:embedRegular r:id="rId3" w:fontKey="{3F420703-E686-4953-AD85-2C6DF0A4B247}"/>
  </w:font>
  <w:font w:name="Calibri">
    <w:panose1 w:val="020F0502020204030204"/>
    <w:charset w:val="00"/>
    <w:family w:val="swiss"/>
    <w:pitch w:val="default"/>
    <w:sig w:usb0="E4002EFF" w:usb1="C200247B" w:usb2="00000009" w:usb3="00000000" w:csb0="200001FF" w:csb1="00000000"/>
    <w:embedRegular r:id="rId4" w:fontKey="{4098420D-ABC1-4F72-B6B6-D7DDF06DE693}"/>
  </w:font>
  <w:font w:name="黑体">
    <w:panose1 w:val="02010609060101010101"/>
    <w:charset w:val="FFFFFF86"/>
    <w:family w:val="auto"/>
    <w:pitch w:val="default"/>
    <w:sig w:usb0="800002BF" w:usb1="38CF7CFA" w:usb2="00000016" w:usb3="00000000" w:csb0="00040001" w:csb1="00000000"/>
    <w:embedRegular r:id="rId5" w:subsetted="1" w:fontKey="{92E2E46F-F9D8-4FD1-9CC4-3D2521BED8F3}"/>
    <w:embedBold r:id="rId6" w:subsetted="1" w:fontKey="{4D8BB534-2848-4160-8C7F-4F0CEF7BD517}"/>
  </w:font>
  <w:font w:name="方正小标宋简体">
    <w:panose1 w:val="02010601030101010101"/>
    <w:charset w:val="FFFFFF86"/>
    <w:family w:val="auto"/>
    <w:pitch w:val="default"/>
    <w:sig w:usb0="00000001" w:usb1="080E0000" w:usb2="00000000" w:usb3="00000000" w:csb0="00040000" w:csb1="00000000"/>
    <w:embedRegular r:id="rId7" w:fontKey="{5FCFFA2C-906B-44E0-AE8B-36008C603E28}"/>
    <w:embedBold r:id="rId8" w:fontKey="{8A691617-755D-4838-AEBE-5915B297B615}"/>
  </w:font>
  <w:font w:name="仿宋">
    <w:panose1 w:val="02010609060101010101"/>
    <w:charset w:val="FFFFFF86"/>
    <w:family w:val="auto"/>
    <w:pitch w:val="default"/>
    <w:sig w:usb0="800002BF" w:usb1="38CF7CFA" w:usb2="00000016" w:usb3="00000000" w:csb0="00040001" w:csb1="00000000"/>
    <w:embedRegular r:id="rId9" w:subsetted="1" w:fontKey="{EF8436E8-DF1C-471C-830D-C165569E81AD}"/>
  </w:font>
  <w:font w:name="方正仿宋_GB2312">
    <w:altName w:val="仿宋"/>
    <w:panose1 w:val="02000000000000000000"/>
    <w:charset w:val="FFFFFF86"/>
    <w:family w:val="auto"/>
    <w:pitch w:val="default"/>
    <w:sig w:usb0="A00002BF" w:usb1="184F6CFA" w:usb2="00000012" w:usb3="00000000" w:csb0="00040001" w:csb1="00000000"/>
  </w:font>
  <w:font w:name="仿宋_GB2312">
    <w:panose1 w:val="02010609030101010101"/>
    <w:charset w:val="FFFFFF86"/>
    <w:family w:val="auto"/>
    <w:pitch w:val="default"/>
    <w:sig w:usb0="00000001" w:usb1="080E0000" w:usb2="00000000" w:usb3="00000000" w:csb0="00040000" w:csb1="00000000"/>
    <w:embedRegular r:id="rId10" w:fontKey="{71FC0A95-4AB2-4292-A4B4-52FF4C3F6FD6}"/>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5C7E950D-8760-4B85-BA6B-4ABF0006B45F}"/>
    <w:embedBold r:id="rId12" w:subsetted="1" w:fontKey="{F4ECA38D-A7DB-4744-9D07-C25DC5710930}"/>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21</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29</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E151D0DB37EA4C6BB556C7F4BC7BE980_13</vt:lpwstr>
  </property>
  <property fmtid="{D5CDD505-2E9C-101B-9397-08002B2CF9AE}" pid="4" name="KSOTemplateDocerSaveRecord">
    <vt:lpwstr>eyJoZGlkIjoiMGI5YWI2OWVkMTUzY2U4YTc0MGZjNmJkMzljNGQ3YjQiLCJ1c2VySWQiOiI1OTcyODA4NTEifQ_x003D__x003D_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32</Pages>
  <Words>9408</Words>
  <Characters>53723</Characters>
  <Application>WPS Office_12.1.0.28043_F1E327BC-269C-435d-A152-05C5408002CA</Application>
  <DocSecurity>0</DocSecurity>
  <Lines>60</Lines>
  <Paragraphs>16</Paragraphs>
  <ScaleCrop>false</ScaleCrop>
  <Company>Microsoft</Company>
  <LinksUpToDate>false</LinksUpToDate>
  <CharactersWithSpaces>54697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Zyi搏</cp:lastModifiedBy>
  <cp:revision>1</cp:revision>
  <cp:lastPrinted>2025-06-25T07:52:17Z</cp:lastPrinted>
  <dcterms:created xsi:type="dcterms:W3CDTF">2019-07-27T18:37:00Z</dcterms:created>
  <dcterms:modified xsi:type="dcterms:W3CDTF">2026-10-09T03:42:59Z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E151D0DB37EA4C6BB556C7F4BC7BE980_13</vt:lpwstr>
  </property>
  <property fmtid="{D5CDD505-2E9C-101B-9397-08002B2CF9AE}" pid="4" name="KSOTemplateDocerSaveRecord">
    <vt:lpwstr>eyJoZGlkIjoiMGI5YWI2OWVkMTUzY2U4YTc0MGZjNmJkMzljNGQ3YjQiLCJ1c2VySWQiOiI1OTcyODA4NTEifQ_x003D__x003D_</vt:lpwstr>
  </property>
</Properties>
</file>