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天津石油职业技术学院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培养高等专科学历技术应用人才，促进科技文化发展。业务范围是高等专科学历教育（石油工程、电子技术应用、机电一体化等）、科学研究、继续教育、专业培训、学术交流及相关社会服务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天津石油职业技术学院本级（内设14个职能处室，7个二级学院）。</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天津石油职业技术学院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160847340.00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228604356.90</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46658159.85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10553678.42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3696000.00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3107000.00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17720713.17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235779891.44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235409456.90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370434.54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9700000.00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9700000.00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245479891.44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245479891.44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235779891.44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160847340.00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57211838.27</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46658159.85</w:t>
            </w: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17720713.17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228974791.44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154042240.00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57211838.27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46658159.85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17720713.17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228974791.44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154042240.00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57211838.27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46658159.85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17720713.17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228974791.44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154042240.00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57211838.27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46658159.85</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17720713.17</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3696000.00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2464000.00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2464000.00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1232000.00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1232000.00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3107000.00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3107000.00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3107000.00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3107000.00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天津石油职业技术学院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245479891.44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235779891.44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160847340.00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46658159.85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10553678.42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17720713.17</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330231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天津石油职业技术学院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245479891.44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235779891.44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160847340.00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46658159.85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10553678.42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17720713.17</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天津石油职业技术学院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9700000.00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9700000.00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9700000.00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330231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天津石油职业技术学院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9700000.00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9700000.00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9700000.00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235409456.90</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209851245.75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25558211.15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228604356.90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203048245.75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25556111.15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228604356.90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203048245.75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25556111.15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高等职业教育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228604356.90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203048245.75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25556111.15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154042240.00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154042240.00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3696000.00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3696000.00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3107000.00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3107000.00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160847340.00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天津石油职业技术学院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160847340.00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137184000.00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104846000.00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32338000.00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23663340.00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154042240.00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98043000.00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23661240.00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154042240.00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98043000.00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23661240.00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高等职业教育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154042240.00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130381000.00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98043000.00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23661240.00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3696000.00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1232000.00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101820000.00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32338000.00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36691612.20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3775527.24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31919570.94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9210875.91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6802515.32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4207442.00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4440000.00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903594.70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6746856.00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1230000.00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1194005.69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3026000.00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1904000.00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4940000.00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1122000.00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1113000.00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104846000.00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32338000.00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天津石油职业技术学院2025年度政府性基金预算财政拨款收入支出决算表为空表。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天津石油职业技术学院2025年度国有资本经营预算财政拨款收入支出决算表为空表。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天津石油职业技术学院2025年财政拨款“三公”经费支出决算表为空表。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天津石油职业技术学院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25558211.15</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23663340.00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25556111.15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23661240.00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25556111.15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23661240.00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25556111.15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23661240.00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现代职业教育质量提升计划资金-2025年中央专款-调整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5860900.00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5860900.00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学生资助补助经费-中央专款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8799700.00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8799700.00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学生资助政策体系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7699540.00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7699540.00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学生资助补助经费-中央专款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166400.00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166400.00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天津市高校落实《科教兴市人才强市行动方案》考核引导资金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现代职业教育质量提升计划资金-2025年中央专款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2025年非财政拨款项目（综合业务经费）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1894871.15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2025年一般债券利息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245,479,891.44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减少21,013,668.62元，下降7.89%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财政收支的减少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一般公共预算财政拨款收入160,847,340.00元、财政专户管理资金收入46,658,159.85元、事业收入10,553,678.42元、其他收入17,720,713.17元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教育支出228,604,356.90元、社会保障和就业支出3,696,000.00元、卫生健康支出3,107,000.00元、债务付息支出2,100.00元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235,779,891.44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减少12,550,178.01元，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财政收入的减少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一般公共预算财政拨款收入160,847,340.00元，占68.22%；财政专户管理资金收入46,658,159.85元，占19.79%；事业收入10,553,678.42元，占4.48%；其他收入17,720,713.17元，占7.51%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235,409,456.90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减少21,384,103.16元，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项目支出的减少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基本支出209,851,245.75元，占89.14%；项目支出25,558,211.15元，占10.86%</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160,847,340.00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增加12,075,524.00元，增长8.12%，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学生人数增加，增加相应的收支</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一般公共预算财政拨款160,847,340.00元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教育支出154,042,240.00元、社会保障和就业支出3,696,000.00元、卫生健康支出3,107,000.00元、债务付息支出2,100.00元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天津石油职业技术学院2025年度一般公共预算财政拨款支出合计160,847,340.00元，占本年支出合计的68.33%。与2024年度相比，一般公共预算财政拨款支出</w:t>
      </w:r>
      <w:r>
        <w:rPr>
          <w:rFonts w:eastAsia="仿宋_GB2312" w:hint="eastAsia"/>
          <w:sz w:val="30"/>
          <w:szCs w:val="30"/>
          <w:highlight w:val="none"/>
          <w:lang w:val="en-US" w:eastAsia="zh-CN"/>
        </w:rPr>
        <w:t xml:space="preserve">增加12,075,524.00元</w:t>
      </w:r>
      <w:r>
        <w:rPr>
          <w:rFonts w:eastAsia="仿宋_GB2312" w:hint="eastAsia"/>
          <w:sz w:val="30"/>
          <w:szCs w:val="30"/>
          <w:highlight w:val="none"/>
          <w:lang w:val="en-US" w:eastAsia="zh-CN"/>
        </w:rPr>
        <w:t xml:space="preserve">，增长8.12%</w:t>
      </w:r>
      <w:r>
        <w:rPr>
          <w:rFonts w:eastAsia="仿宋_GB2312" w:hint="eastAsia"/>
          <w:sz w:val="30"/>
          <w:szCs w:val="30"/>
          <w:highlight w:val="none"/>
          <w:lang w:val="en-US" w:eastAsia="zh-CN"/>
        </w:rPr>
        <w:t xml:space="preserve">，主要原因是学生人数增加，增加相应的支出。</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2025年度一般公共预算财政拨款支出160,847,340.00元，主要用于以下方面：</w:t>
      </w:r>
      <w:r>
        <w:rPr>
          <w:rFonts w:eastAsia="仿宋_GB2312" w:hint="eastAsia"/>
          <w:sz w:val="30"/>
          <w:szCs w:val="30"/>
          <w:highlight w:val="none"/>
        </w:rPr>
        <w:t xml:space="preserve">教育支出（类）支出154,042,240.00元，占95.77%，社会保障和就业支出（类）支出3,696,000.00元，占2.30%，卫生健康支出（类）支出3,107,000.00元，占1.93%，债务付息支出（类）支出2,100.00元，占0.00%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2025年度一般公共预算财政拨款支出年初预算为153,591,000.00元，支出决算为160,847,340.00元</w:t>
      </w:r>
      <w:r>
        <w:rPr>
          <w:rFonts w:eastAsia="仿宋_GB2312" w:hint="eastAsia"/>
          <w:sz w:val="30"/>
          <w:szCs w:val="30"/>
          <w:highlight w:val="none"/>
          <w:lang w:val="en-US" w:eastAsia="zh-CN"/>
        </w:rPr>
        <w:t xml:space="preserve">，完成年初预算的104.72%</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职业教育（款）高等职业教育（项）年初预算为146,785,900.00元，支出决算为154,042,240.00元，完成年初预算的104.94%，决算数大于年初预算数的主要原因是：比年初预算增加了现代职业教育质量提升计划资金及部分学生资助项目资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基本养老保险缴费支出（项）年初预算为2,464,000.00元，支出决算为2,464,000.00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职业年金缴费支出（项）年初预算为1,232,000.00元，支出决算为1,232,000.00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4.卫生健康支出（类）行政事业单位医疗（款）事业单位医疗（项）年初预算为1,617,000.00元，支出决算为1,617,000.00元，完成年初预算的100.00%，决算数与年初预算数持平的主要原因是：严格按照预算执行。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其他行政事业单位医疗支出（项）年初预算为1,490,000.00元，支出决算为1,490,000.00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债务付息支出（类）地方政府一般债务付息支出（款）地方政府一般债券付息支出（项）年初预算为2,100.00元，支出决算为2,100.00元，完成年初预算的100.00%，决算数与年初预算数持平的主要原因是：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天津石油职业技术学院2025年度一般公共预算财政拨款基本支出合计137,184,000.00元，与2024年度相比</w:t>
      </w:r>
      <w:r>
        <w:rPr>
          <w:rFonts w:eastAsia="仿宋_GB2312" w:hint="eastAsia"/>
          <w:sz w:val="30"/>
          <w:szCs w:val="30"/>
          <w:highlight w:val="none"/>
          <w:lang w:val="en-US" w:eastAsia="zh-CN"/>
        </w:rPr>
        <w:t xml:space="preserve">增加12,812,000.00元，</w:t>
      </w:r>
      <w:r>
        <w:rPr>
          <w:rFonts w:eastAsia="仿宋_GB2312" w:hint="eastAsia"/>
          <w:sz w:val="30"/>
          <w:szCs w:val="30"/>
          <w:highlight w:val="none"/>
          <w:lang w:val="en-US" w:eastAsia="zh-CN"/>
        </w:rPr>
        <w:t xml:space="preserve">主要原因是人员经费的增加。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人员经费104,846,000.00元，主要包括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基本工资、津贴补贴、绩效工资、机关事业单位基本养老保险缴费、职业年金缴费、职工基本医疗保险缴费、其他社会保障缴费、住房公积金、医疗费、其他工资福利支出、退休费、医疗费补助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公用经费32,338,000.00元，主要包括</w:t>
      </w:r>
      <w:r>
        <w:rPr>
          <w:rFonts w:eastAsia="仿宋_GB2312" w:hint="eastAsia"/>
          <w:sz w:val="30"/>
          <w:szCs w:val="30"/>
          <w:highlight w:val="none"/>
          <w:lang w:val="en-US" w:eastAsia="zh-CN"/>
        </w:rPr>
        <w:t xml:space="preserve">办公费、印刷费、手续费、水费、电费、邮电费、取暖费、物业管理费、维修(护)费、租赁费、培训费、专用材料费、劳务费、委托业务费、工会经费、福利费、其他商品和服务支出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支出决算较上年减少160,000.00元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决算数较上年减少的主要原因是本年度未用财政拨款经费列支。</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支出决算较上年减少120,000.00元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支出决算较上年减少120,000.00元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支出决算较上年减少40,000.00元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石油职业技术学院2025年政府采购支出总额32,741,318.61元，其中：政府采购货物支出6,617,457.00元、政府采购工程支出7,627,144.00元、政府采购服务支出18,496,717.61元。授予中小企业合同金额32,723,348.61元，占政府采购支出总额的99.95%，其中：授予小微企业合同金额32,723,348.61元，占政府采购支出总额的99.95%；货物采购授予中小企业合同金额占货物支出金额的99.73%，工程采购授予中小企业合同金额占工程支出金额的100.00%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截至2025年12月31日，天津石油职业技术学院共有车辆13辆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其他用车13辆</w:t>
      </w:r>
      <w:r>
        <w:rPr>
          <w:rFonts w:eastAsia="仿宋_GB2312" w:hint="eastAsia"/>
          <w:sz w:val="30"/>
          <w:szCs w:val="30"/>
          <w:highlight w:val="none"/>
          <w:lang w:val="en-US" w:eastAsia="zh-CN"/>
        </w:rPr>
        <w:t xml:space="preserve">，其他用车主要包括清洁卫生用车、保安院内巡逻车 、绿化用车、办公用车等</w:t>
      </w:r>
      <w:r>
        <w:rPr>
          <w:rFonts w:eastAsia="仿宋_GB2312" w:hint="eastAsia"/>
          <w:sz w:val="30"/>
          <w:szCs w:val="30"/>
          <w:highlight w:val="none"/>
          <w:lang w:val="en-US" w:eastAsia="zh-CN"/>
        </w:rPr>
        <w:t xml:space="preserve">。单价100万元以上的设备17台（套）。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根据预算绩效管理要求，天津石油职业技术学院已对3个2025年度市级项目开展绩效自评，涉及金额8,402,000.00元，自评结果已随部门决算一并公开。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天津石油职业技术学院不属于乡、镇、街级单位，不涉及公开2025年度教育、医疗卫生、社会保障和就业、住房保障、涉农补贴等民生支出情况。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868C84EC-DAC2-44CB-96B7-B662469899D2}"/>
    <w:embedBold r:id="rId2" w:subsetted="1" w:fontKey="{9548A7D5-DC12-49C9-B59C-32E37E4C264D}"/>
  </w:font>
  <w:font w:name="Cambria">
    <w:panose1 w:val="02040503050406030204"/>
    <w:charset w:val="00"/>
    <w:family w:val="roman"/>
    <w:pitch w:val="default"/>
    <w:sig w:usb0="E00006FF" w:usb1="420024FF" w:usb2="02000000" w:usb3="00000000" w:csb0="2000019F" w:csb1="00000000"/>
    <w:embedRegular r:id="rId3" w:fontKey="{342D2FB0-DDCB-4919-9D23-7631139C046A}"/>
  </w:font>
  <w:font w:name="Calibri">
    <w:panose1 w:val="020F0502020204030204"/>
    <w:charset w:val="00"/>
    <w:family w:val="swiss"/>
    <w:pitch w:val="default"/>
    <w:sig w:usb0="E4002EFF" w:usb1="C200247B" w:usb2="00000009" w:usb3="00000000" w:csb0="200001FF" w:csb1="00000000"/>
    <w:embedRegular r:id="rId4" w:fontKey="{39FFB95C-77B7-4C07-A8E9-BE41B5F10C55}"/>
  </w:font>
  <w:font w:name="黑体">
    <w:panose1 w:val="02010609060101010101"/>
    <w:charset w:val="FFFFFF86"/>
    <w:family w:val="auto"/>
    <w:pitch w:val="default"/>
    <w:sig w:usb0="800002BF" w:usb1="38CF7CFA" w:usb2="00000016" w:usb3="00000000" w:csb0="00040001" w:csb1="00000000"/>
    <w:embedRegular r:id="rId5" w:subsetted="1" w:fontKey="{62C71626-411C-468C-AF17-3D8F40125C41}"/>
    <w:embedBold r:id="rId6" w:subsetted="1" w:fontKey="{5DC48C87-C040-476B-88CA-4B5AF7F7B44F}"/>
  </w:font>
  <w:font w:name="方正小标宋简体">
    <w:altName w:val="黑体"/>
    <w:panose1 w:val="02000000000000000000"/>
    <w:charset w:val="FFFFFF86"/>
    <w:family w:val="auto"/>
    <w:pitch w:val="default"/>
    <w:sig w:usb0="00000001" w:usb1="08000000" w:usb2="00000000" w:usb3="00000000" w:csb0="00040000" w:csb1="00000000"/>
    <w:embedRegular r:id="rId7" w:fontKey="{84A06559-4BB6-4566-8596-CECDBE25939D}"/>
    <w:embedBold r:id="rId8" w:fontKey="{C3405970-233C-43A5-9008-62DB8D1F1772}"/>
  </w:font>
  <w:font w:name="仿宋">
    <w:panose1 w:val="02010609060101010101"/>
    <w:charset w:val="FFFFFF86"/>
    <w:family w:val="auto"/>
    <w:pitch w:val="default"/>
    <w:sig w:usb0="800002BF" w:usb1="38CF7CFA" w:usb2="00000016" w:usb3="00000000" w:csb0="00040001" w:csb1="00000000"/>
    <w:embedRegular r:id="rId9" w:subsetted="1" w:fontKey="{30283E79-4962-4D41-B496-8035D70D3A43}"/>
  </w:font>
  <w:font w:name="方正仿宋_GB2312">
    <w:altName w:val="仿宋"/>
    <w:panose1 w:val="02000000000000000000"/>
    <w:charset w:val="FFFFFF86"/>
    <w:family w:val="auto"/>
    <w:pitch w:val="default"/>
    <w:sig w:usb0="A00002BF" w:usb1="184F6CFA" w:usb2="00000012" w:usb3="00000000" w:csb0="00040001" w:csb1="00000000"/>
    <w:embedRegular r:id="rId10" w:fontKey="{DFFE4479-6FD4-48DA-A67F-D125E2F7A036}"/>
  </w:font>
  <w:font w:name="仿宋_GB2312">
    <w:altName w:val="仿宋"/>
    <w:panose1 w:val="02010609030101010101"/>
    <w:charset w:val="FFFFFF86"/>
    <w:family w:val="auto"/>
    <w:pitch w:val="default"/>
    <w:sig w:usb0="00000001" w:usb1="080E0000" w:usb2="00000000" w:usb3="00000000" w:csb0="00040000" w:csb1="00000000"/>
    <w:embedRegular r:id="rId11" w:fontKey="{15837FA8-D2BE-416F-BA1A-250C52DEE0C9}"/>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4E0727D5-EB5E-4CF9-92EA-8C2A351DF54C}"/>
    <w:embedBold r:id="rId13" w:subsetted="1" w:fontKey="{71A7E4B9-FB5A-40F1-9E24-6AC732E90D0F}"/>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21</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29</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32</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