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Arial" w:hAnsi="Arial" w:eastAsia="新宋体" w:cs="Arial"/>
          <w:b/>
          <w:bCs/>
          <w:color w:val="000000"/>
          <w:sz w:val="30"/>
          <w:szCs w:val="30"/>
        </w:rPr>
      </w:pPr>
      <w:r>
        <w:rPr>
          <w:rFonts w:hint="default" w:ascii="Arial" w:hAnsi="Arial" w:eastAsia="新宋体" w:cs="Arial"/>
          <w:b/>
          <w:bCs/>
          <w:color w:val="000000"/>
          <w:kern w:val="0"/>
          <w:sz w:val="30"/>
          <w:szCs w:val="30"/>
          <w:lang w:val="en-US" w:eastAsia="zh-CN" w:bidi="ar"/>
        </w:rPr>
        <w:t>天津市未成年人保护条例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ind w:left="0" w:right="0"/>
        <w:jc w:val="both"/>
        <w:textAlignment w:val="auto"/>
        <w:rPr>
          <w:rFonts w:hint="default" w:ascii="Arial" w:hAnsi="Arial" w:eastAsia="新宋体" w:cs="Arial"/>
          <w:color w:val="8A8A8A"/>
          <w:sz w:val="28"/>
          <w:szCs w:val="28"/>
        </w:rPr>
      </w:pPr>
      <w:r>
        <w:rPr>
          <w:rFonts w:hint="default" w:ascii="Arial" w:hAnsi="Arial" w:eastAsia="新宋体" w:cs="Arial"/>
          <w:color w:val="8A8A8A"/>
          <w:kern w:val="0"/>
          <w:sz w:val="28"/>
          <w:szCs w:val="28"/>
          <w:lang w:val="en-US" w:eastAsia="zh-CN" w:bidi="ar"/>
        </w:rPr>
        <w:t>(1990年6月12日天津市第十一届人民代表大会常务委员会第十八次会议通过 根据1997年5月5日天津市第十二届人民代表大会常务</w:t>
      </w:r>
      <w:bookmarkStart w:id="0" w:name="_GoBack"/>
      <w:bookmarkEnd w:id="0"/>
      <w:r>
        <w:rPr>
          <w:rFonts w:hint="default" w:ascii="Arial" w:hAnsi="Arial" w:eastAsia="新宋体" w:cs="Arial"/>
          <w:color w:val="8A8A8A"/>
          <w:kern w:val="0"/>
          <w:sz w:val="28"/>
          <w:szCs w:val="28"/>
          <w:lang w:val="en-US" w:eastAsia="zh-CN" w:bidi="ar"/>
        </w:rPr>
        <w:t>委员会第三十二次会议通过的《关于修改〈天津市未成年人保护条例〉的决定》修正 2007年11月15日天津市第十四届人民代表大会常务委员会第四十次会议修订）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ind w:left="0" w:right="0"/>
        <w:jc w:val="both"/>
        <w:textAlignment w:val="auto"/>
        <w:rPr>
          <w:sz w:val="28"/>
          <w:szCs w:val="28"/>
        </w:rPr>
      </w:pPr>
    </w:p>
    <w:p>
      <w:pPr>
        <w:pStyle w:val="20"/>
        <w:keepNext w:val="0"/>
        <w:keepLines w:val="0"/>
        <w:pageBreakBefore w:val="0"/>
        <w:widowControl w:val="0"/>
        <w:kinsoku/>
        <w:wordWrap/>
        <w:overflowPunct/>
        <w:topLinePunct w:val="0"/>
        <w:autoSpaceDE/>
        <w:autoSpaceDN/>
        <w:bidi w:val="0"/>
        <w:adjustRightInd w:val="0"/>
        <w:snapToGrid w:val="0"/>
        <w:jc w:val="both"/>
        <w:textAlignment w:val="auto"/>
        <w:rPr>
          <w:sz w:val="28"/>
          <w:szCs w:val="28"/>
        </w:rPr>
      </w:pPr>
      <w:r>
        <w:rPr>
          <w:sz w:val="28"/>
          <w:szCs w:val="28"/>
        </w:rPr>
        <w:t>窗体底端</w:t>
      </w:r>
    </w:p>
    <w:p>
      <w:pPr>
        <w:pStyle w:val="19"/>
        <w:keepNext w:val="0"/>
        <w:keepLines w:val="0"/>
        <w:pageBreakBefore w:val="0"/>
        <w:widowControl w:val="0"/>
        <w:kinsoku/>
        <w:wordWrap/>
        <w:overflowPunct/>
        <w:topLinePunct w:val="0"/>
        <w:autoSpaceDE/>
        <w:autoSpaceDN/>
        <w:bidi w:val="0"/>
        <w:adjustRightInd w:val="0"/>
        <w:snapToGrid w:val="0"/>
        <w:jc w:val="both"/>
        <w:textAlignment w:val="auto"/>
        <w:rPr>
          <w:sz w:val="28"/>
          <w:szCs w:val="28"/>
        </w:rPr>
      </w:pPr>
      <w:r>
        <w:rPr>
          <w:sz w:val="28"/>
          <w:szCs w:val="28"/>
        </w:rPr>
        <w:t>窗体顶端</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b/>
          <w:bCs/>
          <w:color w:val="333333"/>
          <w:sz w:val="28"/>
          <w:szCs w:val="28"/>
        </w:rPr>
      </w:pPr>
      <w:r>
        <w:rPr>
          <w:rFonts w:hint="eastAsia" w:ascii="Arial" w:hAnsi="Arial" w:eastAsia="新宋体" w:cs="Arial"/>
          <w:b/>
          <w:bCs/>
          <w:color w:val="333333"/>
          <w:sz w:val="28"/>
          <w:szCs w:val="28"/>
        </w:rPr>
        <w:t>目 录</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sz w:val="28"/>
          <w:szCs w:val="28"/>
        </w:rPr>
      </w:pPr>
      <w:r>
        <w:rPr>
          <w:rFonts w:hint="default" w:ascii="Arial" w:hAnsi="Arial" w:eastAsia="新宋体" w:cs="Arial"/>
          <w:color w:val="2C76BF"/>
          <w:sz w:val="28"/>
          <w:szCs w:val="28"/>
          <w:u w:val="none"/>
        </w:rPr>
        <w:fldChar w:fldCharType="begin"/>
      </w:r>
      <w:r>
        <w:rPr>
          <w:rFonts w:hint="default" w:ascii="Arial" w:hAnsi="Arial" w:eastAsia="新宋体" w:cs="Arial"/>
          <w:color w:val="2C76BF"/>
          <w:sz w:val="28"/>
          <w:szCs w:val="28"/>
          <w:u w:val="none"/>
        </w:rPr>
        <w:instrText xml:space="preserve"> HYPERLINK "https://www.lawxp.com/statute/s873178.html" \l "div10787608" </w:instrText>
      </w:r>
      <w:r>
        <w:rPr>
          <w:rFonts w:hint="default" w:ascii="Arial" w:hAnsi="Arial" w:eastAsia="新宋体" w:cs="Arial"/>
          <w:color w:val="2C76BF"/>
          <w:sz w:val="28"/>
          <w:szCs w:val="28"/>
          <w:u w:val="none"/>
        </w:rPr>
        <w:fldChar w:fldCharType="separate"/>
      </w:r>
      <w:r>
        <w:rPr>
          <w:rStyle w:val="7"/>
          <w:rFonts w:hint="default" w:ascii="Arial" w:hAnsi="Arial" w:eastAsia="新宋体" w:cs="Arial"/>
          <w:color w:val="2C76BF"/>
          <w:sz w:val="28"/>
          <w:szCs w:val="28"/>
          <w:u w:val="none"/>
        </w:rPr>
        <w:t>第一章 总则</w:t>
      </w:r>
      <w:r>
        <w:rPr>
          <w:rFonts w:hint="default" w:ascii="Arial" w:hAnsi="Arial" w:eastAsia="新宋体" w:cs="Arial"/>
          <w:color w:val="2C76BF"/>
          <w:sz w:val="28"/>
          <w:szCs w:val="28"/>
          <w:u w:val="none"/>
        </w:rPr>
        <w:fldChar w:fldCharType="end"/>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sz w:val="28"/>
          <w:szCs w:val="28"/>
        </w:rPr>
      </w:pPr>
      <w:r>
        <w:rPr>
          <w:rFonts w:hint="default" w:ascii="Arial" w:hAnsi="Arial" w:eastAsia="新宋体" w:cs="Arial"/>
          <w:color w:val="2C76BF"/>
          <w:sz w:val="28"/>
          <w:szCs w:val="28"/>
          <w:u w:val="none"/>
        </w:rPr>
        <w:fldChar w:fldCharType="begin"/>
      </w:r>
      <w:r>
        <w:rPr>
          <w:rFonts w:hint="default" w:ascii="Arial" w:hAnsi="Arial" w:eastAsia="新宋体" w:cs="Arial"/>
          <w:color w:val="2C76BF"/>
          <w:sz w:val="28"/>
          <w:szCs w:val="28"/>
          <w:u w:val="none"/>
        </w:rPr>
        <w:instrText xml:space="preserve"> HYPERLINK "https://www.lawxp.com/statute/s873178.html" \l "div10787613" </w:instrText>
      </w:r>
      <w:r>
        <w:rPr>
          <w:rFonts w:hint="default" w:ascii="Arial" w:hAnsi="Arial" w:eastAsia="新宋体" w:cs="Arial"/>
          <w:color w:val="2C76BF"/>
          <w:sz w:val="28"/>
          <w:szCs w:val="28"/>
          <w:u w:val="none"/>
        </w:rPr>
        <w:fldChar w:fldCharType="separate"/>
      </w:r>
      <w:r>
        <w:rPr>
          <w:rStyle w:val="7"/>
          <w:rFonts w:hint="default" w:ascii="Arial" w:hAnsi="Arial" w:eastAsia="新宋体" w:cs="Arial"/>
          <w:color w:val="2C76BF"/>
          <w:sz w:val="28"/>
          <w:szCs w:val="28"/>
          <w:u w:val="none"/>
        </w:rPr>
        <w:t>第二章 家庭保护</w:t>
      </w:r>
      <w:r>
        <w:rPr>
          <w:rFonts w:hint="default" w:ascii="Arial" w:hAnsi="Arial" w:eastAsia="新宋体" w:cs="Arial"/>
          <w:color w:val="2C76BF"/>
          <w:sz w:val="28"/>
          <w:szCs w:val="28"/>
          <w:u w:val="none"/>
        </w:rPr>
        <w:fldChar w:fldCharType="end"/>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sz w:val="28"/>
          <w:szCs w:val="28"/>
        </w:rPr>
      </w:pPr>
      <w:r>
        <w:rPr>
          <w:rFonts w:hint="default" w:ascii="Arial" w:hAnsi="Arial" w:eastAsia="新宋体" w:cs="Arial"/>
          <w:color w:val="2C76BF"/>
          <w:sz w:val="28"/>
          <w:szCs w:val="28"/>
          <w:u w:val="none"/>
        </w:rPr>
        <w:fldChar w:fldCharType="begin"/>
      </w:r>
      <w:r>
        <w:rPr>
          <w:rFonts w:hint="default" w:ascii="Arial" w:hAnsi="Arial" w:eastAsia="新宋体" w:cs="Arial"/>
          <w:color w:val="2C76BF"/>
          <w:sz w:val="28"/>
          <w:szCs w:val="28"/>
          <w:u w:val="none"/>
        </w:rPr>
        <w:instrText xml:space="preserve"> HYPERLINK "https://www.lawxp.com/statute/s873178.html" \l "div11038453" </w:instrText>
      </w:r>
      <w:r>
        <w:rPr>
          <w:rFonts w:hint="default" w:ascii="Arial" w:hAnsi="Arial" w:eastAsia="新宋体" w:cs="Arial"/>
          <w:color w:val="2C76BF"/>
          <w:sz w:val="28"/>
          <w:szCs w:val="28"/>
          <w:u w:val="none"/>
        </w:rPr>
        <w:fldChar w:fldCharType="separate"/>
      </w:r>
      <w:r>
        <w:rPr>
          <w:rStyle w:val="7"/>
          <w:rFonts w:hint="default" w:ascii="Arial" w:hAnsi="Arial" w:eastAsia="新宋体" w:cs="Arial"/>
          <w:color w:val="2C76BF"/>
          <w:sz w:val="28"/>
          <w:szCs w:val="28"/>
          <w:u w:val="none"/>
        </w:rPr>
        <w:t>第三章 学校保护</w:t>
      </w:r>
      <w:r>
        <w:rPr>
          <w:rFonts w:hint="default" w:ascii="Arial" w:hAnsi="Arial" w:eastAsia="新宋体" w:cs="Arial"/>
          <w:color w:val="2C76BF"/>
          <w:sz w:val="28"/>
          <w:szCs w:val="28"/>
          <w:u w:val="none"/>
        </w:rPr>
        <w:fldChar w:fldCharType="end"/>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sz w:val="28"/>
          <w:szCs w:val="28"/>
        </w:rPr>
      </w:pPr>
      <w:r>
        <w:rPr>
          <w:rFonts w:hint="default" w:ascii="Arial" w:hAnsi="Arial" w:eastAsia="新宋体" w:cs="Arial"/>
          <w:color w:val="2C76BF"/>
          <w:sz w:val="28"/>
          <w:szCs w:val="28"/>
          <w:u w:val="none"/>
        </w:rPr>
        <w:fldChar w:fldCharType="begin"/>
      </w:r>
      <w:r>
        <w:rPr>
          <w:rFonts w:hint="default" w:ascii="Arial" w:hAnsi="Arial" w:eastAsia="新宋体" w:cs="Arial"/>
          <w:color w:val="2C76BF"/>
          <w:sz w:val="28"/>
          <w:szCs w:val="28"/>
          <w:u w:val="none"/>
        </w:rPr>
        <w:instrText xml:space="preserve"> HYPERLINK "https://www.lawxp.com/statute/s873178.html" \l "div11038468" </w:instrText>
      </w:r>
      <w:r>
        <w:rPr>
          <w:rFonts w:hint="default" w:ascii="Arial" w:hAnsi="Arial" w:eastAsia="新宋体" w:cs="Arial"/>
          <w:color w:val="2C76BF"/>
          <w:sz w:val="28"/>
          <w:szCs w:val="28"/>
          <w:u w:val="none"/>
        </w:rPr>
        <w:fldChar w:fldCharType="separate"/>
      </w:r>
      <w:r>
        <w:rPr>
          <w:rStyle w:val="7"/>
          <w:rFonts w:hint="default" w:ascii="Arial" w:hAnsi="Arial" w:eastAsia="新宋体" w:cs="Arial"/>
          <w:color w:val="2C76BF"/>
          <w:sz w:val="28"/>
          <w:szCs w:val="28"/>
          <w:u w:val="none"/>
        </w:rPr>
        <w:t>第四章 社会保护</w:t>
      </w:r>
      <w:r>
        <w:rPr>
          <w:rFonts w:hint="default" w:ascii="Arial" w:hAnsi="Arial" w:eastAsia="新宋体" w:cs="Arial"/>
          <w:color w:val="2C76BF"/>
          <w:sz w:val="28"/>
          <w:szCs w:val="28"/>
          <w:u w:val="none"/>
        </w:rPr>
        <w:fldChar w:fldCharType="end"/>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sz w:val="28"/>
          <w:szCs w:val="28"/>
        </w:rPr>
      </w:pPr>
      <w:r>
        <w:rPr>
          <w:rFonts w:hint="default" w:ascii="Arial" w:hAnsi="Arial" w:eastAsia="新宋体" w:cs="Arial"/>
          <w:color w:val="2C76BF"/>
          <w:sz w:val="28"/>
          <w:szCs w:val="28"/>
          <w:u w:val="none"/>
        </w:rPr>
        <w:fldChar w:fldCharType="begin"/>
      </w:r>
      <w:r>
        <w:rPr>
          <w:rFonts w:hint="default" w:ascii="Arial" w:hAnsi="Arial" w:eastAsia="新宋体" w:cs="Arial"/>
          <w:color w:val="2C76BF"/>
          <w:sz w:val="28"/>
          <w:szCs w:val="28"/>
          <w:u w:val="none"/>
        </w:rPr>
        <w:instrText xml:space="preserve"> HYPERLINK "https://www.lawxp.com/statute/s873178.html" \l "div11038486" </w:instrText>
      </w:r>
      <w:r>
        <w:rPr>
          <w:rFonts w:hint="default" w:ascii="Arial" w:hAnsi="Arial" w:eastAsia="新宋体" w:cs="Arial"/>
          <w:color w:val="2C76BF"/>
          <w:sz w:val="28"/>
          <w:szCs w:val="28"/>
          <w:u w:val="none"/>
        </w:rPr>
        <w:fldChar w:fldCharType="separate"/>
      </w:r>
      <w:r>
        <w:rPr>
          <w:rStyle w:val="7"/>
          <w:rFonts w:hint="default" w:ascii="Arial" w:hAnsi="Arial" w:eastAsia="新宋体" w:cs="Arial"/>
          <w:color w:val="2C76BF"/>
          <w:sz w:val="28"/>
          <w:szCs w:val="28"/>
          <w:u w:val="none"/>
        </w:rPr>
        <w:t>第五章 国家机关保护</w:t>
      </w:r>
      <w:r>
        <w:rPr>
          <w:rFonts w:hint="default" w:ascii="Arial" w:hAnsi="Arial" w:eastAsia="新宋体" w:cs="Arial"/>
          <w:color w:val="2C76BF"/>
          <w:sz w:val="28"/>
          <w:szCs w:val="28"/>
          <w:u w:val="none"/>
        </w:rPr>
        <w:fldChar w:fldCharType="end"/>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sz w:val="28"/>
          <w:szCs w:val="28"/>
        </w:rPr>
      </w:pPr>
      <w:r>
        <w:rPr>
          <w:rFonts w:hint="default" w:ascii="Arial" w:hAnsi="Arial" w:eastAsia="新宋体" w:cs="Arial"/>
          <w:color w:val="2C76BF"/>
          <w:sz w:val="28"/>
          <w:szCs w:val="28"/>
          <w:u w:val="none"/>
        </w:rPr>
        <w:fldChar w:fldCharType="begin"/>
      </w:r>
      <w:r>
        <w:rPr>
          <w:rFonts w:hint="default" w:ascii="Arial" w:hAnsi="Arial" w:eastAsia="新宋体" w:cs="Arial"/>
          <w:color w:val="2C76BF"/>
          <w:sz w:val="28"/>
          <w:szCs w:val="28"/>
          <w:u w:val="none"/>
        </w:rPr>
        <w:instrText xml:space="preserve"> HYPERLINK "https://www.lawxp.com/statute/s873178.html" \l "div11038496" </w:instrText>
      </w:r>
      <w:r>
        <w:rPr>
          <w:rFonts w:hint="default" w:ascii="Arial" w:hAnsi="Arial" w:eastAsia="新宋体" w:cs="Arial"/>
          <w:color w:val="2C76BF"/>
          <w:sz w:val="28"/>
          <w:szCs w:val="28"/>
          <w:u w:val="none"/>
        </w:rPr>
        <w:fldChar w:fldCharType="separate"/>
      </w:r>
      <w:r>
        <w:rPr>
          <w:rStyle w:val="7"/>
          <w:rFonts w:hint="default" w:ascii="Arial" w:hAnsi="Arial" w:eastAsia="新宋体" w:cs="Arial"/>
          <w:color w:val="2C76BF"/>
          <w:sz w:val="28"/>
          <w:szCs w:val="28"/>
          <w:u w:val="none"/>
        </w:rPr>
        <w:t>第六章 奖励与处罚</w:t>
      </w:r>
      <w:r>
        <w:rPr>
          <w:rFonts w:hint="default" w:ascii="Arial" w:hAnsi="Arial" w:eastAsia="新宋体" w:cs="Arial"/>
          <w:color w:val="2C76BF"/>
          <w:sz w:val="28"/>
          <w:szCs w:val="28"/>
          <w:u w:val="none"/>
        </w:rPr>
        <w:fldChar w:fldCharType="end"/>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sz w:val="28"/>
          <w:szCs w:val="28"/>
        </w:rPr>
      </w:pPr>
      <w:r>
        <w:rPr>
          <w:rFonts w:hint="default" w:ascii="Arial" w:hAnsi="Arial" w:eastAsia="新宋体" w:cs="Arial"/>
          <w:color w:val="2C76BF"/>
          <w:sz w:val="28"/>
          <w:szCs w:val="28"/>
          <w:u w:val="none"/>
        </w:rPr>
        <w:fldChar w:fldCharType="begin"/>
      </w:r>
      <w:r>
        <w:rPr>
          <w:rFonts w:hint="default" w:ascii="Arial" w:hAnsi="Arial" w:eastAsia="新宋体" w:cs="Arial"/>
          <w:color w:val="2C76BF"/>
          <w:sz w:val="28"/>
          <w:szCs w:val="28"/>
          <w:u w:val="none"/>
        </w:rPr>
        <w:instrText xml:space="preserve"> HYPERLINK "https://www.lawxp.com/statute/s873178.html" \l "div11038505" </w:instrText>
      </w:r>
      <w:r>
        <w:rPr>
          <w:rFonts w:hint="default" w:ascii="Arial" w:hAnsi="Arial" w:eastAsia="新宋体" w:cs="Arial"/>
          <w:color w:val="2C76BF"/>
          <w:sz w:val="28"/>
          <w:szCs w:val="28"/>
          <w:u w:val="none"/>
        </w:rPr>
        <w:fldChar w:fldCharType="separate"/>
      </w:r>
      <w:r>
        <w:rPr>
          <w:rStyle w:val="7"/>
          <w:rFonts w:hint="default" w:ascii="Arial" w:hAnsi="Arial" w:eastAsia="新宋体" w:cs="Arial"/>
          <w:color w:val="2C76BF"/>
          <w:sz w:val="28"/>
          <w:szCs w:val="28"/>
          <w:u w:val="none"/>
        </w:rPr>
        <w:t>第七章 附则</w:t>
      </w:r>
      <w:r>
        <w:rPr>
          <w:rFonts w:hint="default" w:ascii="Arial" w:hAnsi="Arial" w:eastAsia="新宋体" w:cs="Arial"/>
          <w:color w:val="2C76BF"/>
          <w:sz w:val="28"/>
          <w:szCs w:val="28"/>
          <w:u w:val="none"/>
        </w:rPr>
        <w:fldChar w:fldCharType="end"/>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2" w:firstLineChars="200"/>
        <w:jc w:val="both"/>
        <w:textAlignment w:val="auto"/>
        <w:rPr>
          <w:sz w:val="28"/>
          <w:szCs w:val="28"/>
        </w:rPr>
      </w:pPr>
      <w:r>
        <w:rPr>
          <w:rFonts w:hint="default" w:ascii="Arial" w:hAnsi="Arial" w:eastAsia="新宋体" w:cs="Arial"/>
          <w:b/>
          <w:bCs/>
          <w:sz w:val="28"/>
          <w:szCs w:val="28"/>
        </w:rPr>
        <w:t>第一章</w:t>
      </w:r>
      <w:r>
        <w:rPr>
          <w:rFonts w:hint="default" w:ascii="Arial" w:hAnsi="Arial" w:eastAsia="新宋体" w:cs="Arial"/>
          <w:sz w:val="28"/>
          <w:szCs w:val="28"/>
        </w:rPr>
        <w:t xml:space="preserve">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"https://www.lawxp.com/wl/statuteInfo/Provision.aspx?iid=10787608"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第一条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为保障未成年人的合法权益，保护未成年人身心健康，促进未成年人在品德、智力、体质等方面全面发展，培养有理想、有道德、有文化、有纪律的社会主义建设者和接班人，根据《中华人民共和国未成年人保护法》和有关法律、法规规定，结合本市实际情况，制定本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"https://www.lawxp.com/wl/statuteInfo/Provision.aspx?iid=10787609"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第二条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本市行政区域内未满十八周岁公民的保护，适用本条例。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"https://www.lawxp.com/wl/statuteInfo/Provision.aspx?iid=10787610"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第三条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本市各级人民政府领导有关部门做好未成年人的保护工作；将未成年人保护工作纳入国民经济和社会发展规划及年度计划，相关经费纳入本级财政预算。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"https://www.lawxp.com/wl/statuteInfo/Provision.aspx?iid=10787611"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第四条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国家机关、部队、政党、社会团体、企业事业组织、居民委员会、村民委员会、家庭以及成年公民，都有保障未成年人合法权益，优化未成年人成长环境，预防未成年人违法犯罪的责任；都有教育和帮助未成年人增强自我保护意识和能力、增强社会责任感的义务。</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未成年人应当自强、自尊、自爱、自信，遵守法律、法规，遵守社会主义的公德，增强适应社会发展与自我保护的意识和能力。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"https://www.lawxp.com/wl/statuteInfo/Provision.aspx?iid=10787612"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2" w:firstLineChars="200"/>
        <w:jc w:val="both"/>
        <w:textAlignment w:val="auto"/>
        <w:rPr>
          <w:sz w:val="28"/>
          <w:szCs w:val="28"/>
        </w:rPr>
      </w:pPr>
      <w:r>
        <w:rPr>
          <w:rFonts w:hint="default" w:ascii="Arial" w:hAnsi="Arial" w:eastAsia="新宋体" w:cs="Arial"/>
          <w:b/>
          <w:bCs/>
          <w:sz w:val="28"/>
          <w:szCs w:val="28"/>
        </w:rPr>
        <w:t>第二章</w:t>
      </w:r>
      <w:r>
        <w:rPr>
          <w:rFonts w:hint="default" w:ascii="Arial" w:hAnsi="Arial" w:eastAsia="新宋体" w:cs="Arial"/>
          <w:sz w:val="28"/>
          <w:szCs w:val="28"/>
        </w:rPr>
        <w:t xml:space="preserve"> 家庭保护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"https://www.lawxp.com/wl/statuteInfo/Provision.aspx?iid=10787613"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第五条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父母或者其他监护人应当尊重未成年人的人格尊严，为其提供必要的学习、生活和医疗保健条件，保护未成年人的身体健康、心理健康和人身安全。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"https://www.lawxp.com/wl/statuteInfo/Provision.aspx?iid=10787614"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第六条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父母或者其他监护人应当保护未成年人的财产权利不受侵害，除为被监护的未成年人的利益外，不得处理其财产。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"https://www.lawxp.com/wl/statuteInfo/Provision.aspx?iid=10787615"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第七条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父母或者其他监护人应当遵守下列规定：</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（一）引导、教育未成年人热爱祖国、服务人民、崇尚科学、辛勤劳动、团结互助、诚实守信、遵纪守法、艰苦奋斗；</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（二）依法保障适龄未成年人接受并完成义务教育，不得使接受义务教育的未成年人辍学；</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（三）指导未成年人养成良好的学习和生活习惯，鼓励、支持其参加家庭劳动、社会公益劳动以及各类积极健康的文体活动、社会交往活动，增强其自学、自理和自律能力，促进其身心健康发展；</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（四）与学校配合保障未成年人有充裕的文化娱乐活动、体育活动和睡眠时间，不得强迫未成年人从事影响其身心健康的劳作和活动；</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（五）预防和制止未成年人吸烟、饮酒、逃学、夜不归宿、擅自离家出走、沉迷网络、进入不适宜未成年人进入的营业性歌舞厅等场所、打架斗殴、赌博、吸毒、携带危险物品等行为；</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（六）教育未成年人不观看、阅读、收听、搜集、宣扬危害国家安全、淫秽、色情、暴力、邪教、迷信等内容的影视节目、音像制品、图书、报刊、电子出版物和网络信息；</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（七）不得打骂、歧视、虐待、伤害、遗弃未成年人；</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（八）不得教唆、诱骗、胁迫、纵容和包庇未成人违法犯罪，发现其被教唆、诱骗、胁迫违法犯罪时，立即制止并报告公安机关；</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（九）不得允许或者迫使未成年人与他人结婚或者同居。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"https://www.lawxp.com/wl/statuteInfo/Provision.aspx?iid=11038450"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第八条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家庭中的其他成年人应当协助未成年人的父母或者其他监护人教育、保护未成年人。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"https://www.lawxp.com/wl/statuteInfo/Provision.aspx?iid=11038451"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第九条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鼓励未成年人的父母或者其他监护人接受有关国家机关和社会组织提供的家庭教育指导，学习正确的教育和监护方法，以健康的思想、良好的言行和正确的方式教育、影响和保护未成年人。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"https://www.lawxp.com/wl/statuteInfo/Provision.aspx?iid=11038452"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2" w:firstLineChars="200"/>
        <w:jc w:val="both"/>
        <w:textAlignment w:val="auto"/>
        <w:rPr>
          <w:sz w:val="28"/>
          <w:szCs w:val="28"/>
        </w:rPr>
      </w:pPr>
      <w:r>
        <w:rPr>
          <w:rFonts w:hint="default" w:ascii="Arial" w:hAnsi="Arial" w:eastAsia="新宋体" w:cs="Arial"/>
          <w:b/>
          <w:bCs/>
          <w:sz w:val="28"/>
          <w:szCs w:val="28"/>
        </w:rPr>
        <w:t>第三章</w:t>
      </w:r>
      <w:r>
        <w:rPr>
          <w:rFonts w:hint="default" w:ascii="Arial" w:hAnsi="Arial" w:eastAsia="新宋体" w:cs="Arial"/>
          <w:sz w:val="28"/>
          <w:szCs w:val="28"/>
        </w:rPr>
        <w:t xml:space="preserve"> 学校保护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"https://www.lawxp.com/wl/statuteInfo/Provision.aspx?iid=11038453"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第十条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学校应当全面贯彻国家的教育方针，实施素质教育，促进未成年学生的全面发展。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"https://www.lawxp.com/wl/statuteInfo/Provision.aspx?iid=11038454"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第十一条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学校教师和其他教育工作者，应当严格遵守职业道德规范，以良好的品德、言行影响和教育未成年学生。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"https://www.lawxp.com/wl/statuteInfo/Provision.aspx?iid=11038455"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第十二条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学校应当尊重未成年学生接受九年制义务教育的权利，不得拒绝接收应当接受义务教育的适龄未成年人入学，不得责令未成年学生停课、转学、退学或者开除未成年学生。</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学校处分未成年学生，应当听取未成年学生及其父母或者其他监护人的申辩，并对申辩的内容予以答复。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"https://www.lawxp.com/wl/statuteInfo/Provision.aspx?iid=11038456"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第十三条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和教师必须执行国家教育行政管理部门规定的课时和学业量，不得增加未成年学生的课业负担；应当与未成年学生的父母或者其他监护人配合，保证未成年学生的睡眠和参加文化、娱乐、体育、科技以及公益活动的时间，并创造条件有计划地组织上述活动。</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在义务教育阶段，不得举行或者变相举行与入学挂钩的选拔考试或者测试；不得张榜公布未成年学生的考试成绩、名次；不得推销或者变相推销练习册、习题集等教学辅助材料；不得组织未成年学生参加与教育无关的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"https://www.lawxp.com/wl/statuteInfo/Provision.aspx?iid=11038457"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第十四条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中小学校的非营业性互联网上网场所，应当为未成年学生提供健康有益的上网服务。</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节假日期间，中小学校的文化体育设施应当向未成年学生开放。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"https://www.lawxp.com/wl/statuteInfo/Provision.aspx?iid=11038458"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第十五条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学校在组织未成年学生参加集会、文化娱乐、社会实践等集体活动时应当注意安全，防止发生人身安全事故，并有相应的安全保障措施。</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学校应当为未成年学生的身体健康提供必要的卫生保健条件，定期组织未成年学生进行体格检查。</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教学活动场所应当具有符合国家规定的安全、卫生、通风和采光条件。供未成年学生使用的课桌椅和床具，应当按照国家规定的标准配备。</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学校为未成年学生提供饮食，其价格和卫生条件应当符合国家和本市的有关规定。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"https://www.lawxp.com/wl/statuteInfo/Provision.aspx?iid=11038459"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第十六条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学校应当建立校园安全制度。非学校人员未经许可，不得进入学校。学校食堂、宿舍、传达室、保安室、医务室等场所配备的人员必须符合有关法律、法规规定的条件。</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学校及教职员工应当对学校内及周边扰乱教学秩序或者侵害未成年学生人身、财产安全的行为予以制止，或者向公安机关报告。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40" w:lineRule="exact"/>
        <w:ind w:left="0" w:right="0" w:firstLine="560" w:firstLineChars="200"/>
        <w:jc w:val="both"/>
        <w:textAlignment w:val="auto"/>
        <w:rPr>
          <w:rFonts w:hint="default" w:ascii="Arial" w:hAnsi="Arial" w:eastAsia="新宋体" w:cs="Arial"/>
          <w:vanish/>
          <w:color w:val="8A8A8A"/>
          <w:sz w:val="28"/>
          <w:szCs w:val="28"/>
        </w:rPr>
      </w:pP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FF0000"/>
          <w:kern w:val="0"/>
          <w:sz w:val="28"/>
          <w:szCs w:val="28"/>
          <w:lang w:val="en-US" w:eastAsia="zh-CN" w:bidi="ar"/>
        </w:rPr>
        <w:t>相关资料：</w:t>
      </w:r>
      <w:r>
        <w:rPr>
          <w:rFonts w:hint="default" w:ascii="Arial" w:hAnsi="Arial" w:eastAsia="新宋体" w:cs="Arial"/>
          <w:vanish/>
          <w:color w:val="8A8A8A"/>
          <w:kern w:val="0"/>
          <w:sz w:val="28"/>
          <w:szCs w:val="28"/>
          <w:lang w:val="en-US" w:eastAsia="zh-CN" w:bidi="ar"/>
        </w:rPr>
        <w:t xml:space="preserve"> </w:t>
      </w:r>
      <w:r>
        <w:rPr>
          <w:rFonts w:hint="default" w:ascii="Arial" w:hAnsi="Arial" w:eastAsia="新宋体" w:cs="Arial"/>
          <w:vanish/>
          <w:color w:val="333333"/>
          <w:kern w:val="0"/>
          <w:sz w:val="28"/>
          <w:szCs w:val="28"/>
          <w:u w:val="none"/>
          <w:lang w:val="en-US" w:eastAsia="zh-CN" w:bidi="ar"/>
        </w:rPr>
        <w:fldChar w:fldCharType="begin"/>
      </w:r>
      <w:r>
        <w:rPr>
          <w:rFonts w:hint="default" w:ascii="Arial" w:hAnsi="Arial" w:eastAsia="新宋体" w:cs="Arial"/>
          <w:vanish/>
          <w:color w:val="333333"/>
          <w:kern w:val="0"/>
          <w:sz w:val="28"/>
          <w:szCs w:val="28"/>
          <w:u w:val="none"/>
          <w:lang w:val="en-US" w:eastAsia="zh-CN" w:bidi="ar"/>
        </w:rPr>
        <w:instrText xml:space="preserve"> HYPERLINK "https://www.lawxp.com/wl/statuteInfo/Provision.aspx?iid=11038460" \t "https://www.lawxp.com/statute/blank" </w:instrText>
      </w:r>
      <w:r>
        <w:rPr>
          <w:rFonts w:hint="default" w:ascii="Arial" w:hAnsi="Arial" w:eastAsia="新宋体" w:cs="Arial"/>
          <w:vanish/>
          <w:color w:val="333333"/>
          <w:kern w:val="0"/>
          <w:sz w:val="28"/>
          <w:szCs w:val="28"/>
          <w:u w:val="none"/>
          <w:lang w:val="en-US" w:eastAsia="zh-CN" w:bidi="ar"/>
        </w:rPr>
        <w:fldChar w:fldCharType="separate"/>
      </w:r>
      <w:r>
        <w:rPr>
          <w:rStyle w:val="7"/>
          <w:rFonts w:hint="default" w:ascii="Arial" w:hAnsi="Arial" w:eastAsia="新宋体" w:cs="Arial"/>
          <w:vanish/>
          <w:color w:val="333333"/>
          <w:sz w:val="28"/>
          <w:szCs w:val="28"/>
          <w:u w:val="none"/>
        </w:rPr>
        <w:t>修订沿革</w:t>
      </w:r>
      <w:r>
        <w:rPr>
          <w:rFonts w:hint="default" w:ascii="Arial" w:hAnsi="Arial" w:eastAsia="新宋体" w:cs="Arial"/>
          <w:vanish/>
          <w:color w:val="333333"/>
          <w:kern w:val="0"/>
          <w:sz w:val="28"/>
          <w:szCs w:val="28"/>
          <w:u w:val="none"/>
          <w:lang w:val="en-US" w:eastAsia="zh-CN" w:bidi="ar"/>
        </w:rPr>
        <w:fldChar w:fldCharType="end"/>
      </w:r>
      <w:r>
        <w:rPr>
          <w:rFonts w:hint="default" w:ascii="Arial" w:hAnsi="Arial" w:eastAsia="新宋体" w:cs="Arial"/>
          <w:vanish/>
          <w:color w:val="8A8A8A"/>
          <w:kern w:val="0"/>
          <w:sz w:val="28"/>
          <w:szCs w:val="28"/>
          <w:lang w:val="en-US" w:eastAsia="zh-CN" w:bidi="ar"/>
        </w:rPr>
        <w:t xml:space="preserve"> )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2" w:firstLineChars="200"/>
        <w:jc w:val="both"/>
        <w:textAlignment w:val="auto"/>
        <w:rPr>
          <w:color w:val="666666"/>
          <w:sz w:val="28"/>
          <w:szCs w:val="28"/>
        </w:rPr>
      </w:pPr>
      <w:r>
        <w:rPr>
          <w:rFonts w:hint="default" w:ascii="Arial" w:hAnsi="Arial" w:eastAsia="新宋体" w:cs="Arial"/>
          <w:b/>
          <w:bCs/>
          <w:color w:val="666666"/>
          <w:sz w:val="28"/>
          <w:szCs w:val="28"/>
        </w:rPr>
        <w:t>第十七条</w:t>
      </w:r>
      <w:r>
        <w:rPr>
          <w:rFonts w:hint="default" w:ascii="Arial" w:hAnsi="Arial" w:eastAsia="新宋体" w:cs="Arial"/>
          <w:color w:val="666666"/>
          <w:sz w:val="28"/>
          <w:szCs w:val="28"/>
        </w:rPr>
        <w:t xml:space="preserve"> </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学校应当配备心理健康辅导员，有针对性地、适时地对未成年学生进行生理、心理健康教育和青春期教育，对行为有偏差、心理有障碍的未成年学生及时给予必要的关心和指导。</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color w:val="666666"/>
          <w:sz w:val="28"/>
          <w:szCs w:val="28"/>
        </w:rPr>
      </w:pPr>
      <w:r>
        <w:rPr>
          <w:rFonts w:hint="default" w:ascii="Arial" w:hAnsi="Arial" w:eastAsia="新宋体" w:cs="Arial"/>
          <w:color w:val="666666"/>
          <w:sz w:val="28"/>
          <w:szCs w:val="28"/>
        </w:rPr>
        <w:t>学校应当根据未成年学生的特点，开展公共安全和社会生活指导教育。</w:t>
      </w:r>
    </w:p>
    <w:p>
      <w:pPr>
        <w:pStyle w:val="20"/>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3BCE2"/>
    <w:multiLevelType w:val="multilevel"/>
    <w:tmpl w:val="86A3BCE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80126"/>
    <w:rsid w:val="13B76348"/>
    <w:rsid w:val="4EC30B3C"/>
    <w:rsid w:val="53A80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rPr>
      <w:i/>
    </w:rPr>
  </w:style>
  <w:style w:type="character" w:styleId="7">
    <w:name w:val="Hyperlink"/>
    <w:basedOn w:val="4"/>
    <w:qFormat/>
    <w:uiPriority w:val="0"/>
    <w:rPr>
      <w:color w:val="333333"/>
      <w:u w:val="none"/>
    </w:rPr>
  </w:style>
  <w:style w:type="character" w:customStyle="1" w:styleId="8">
    <w:name w:val="xfg-fxjh"/>
    <w:basedOn w:val="4"/>
    <w:uiPriority w:val="0"/>
  </w:style>
  <w:style w:type="character" w:customStyle="1" w:styleId="9">
    <w:name w:val="mylnr-jj2"/>
    <w:basedOn w:val="4"/>
    <w:uiPriority w:val="0"/>
  </w:style>
  <w:style w:type="character" w:customStyle="1" w:styleId="10">
    <w:name w:val="xfg-fxrr"/>
    <w:basedOn w:val="4"/>
    <w:uiPriority w:val="0"/>
  </w:style>
  <w:style w:type="character" w:customStyle="1" w:styleId="11">
    <w:name w:val="rong_zi2"/>
    <w:basedOn w:val="4"/>
    <w:uiPriority w:val="0"/>
  </w:style>
  <w:style w:type="character" w:customStyle="1" w:styleId="12">
    <w:name w:val="w-zx-nr-tj-bt"/>
    <w:basedOn w:val="4"/>
    <w:uiPriority w:val="0"/>
  </w:style>
  <w:style w:type="character" w:customStyle="1" w:styleId="13">
    <w:name w:val="xfg-fxsina"/>
    <w:basedOn w:val="4"/>
    <w:uiPriority w:val="0"/>
  </w:style>
  <w:style w:type="character" w:customStyle="1" w:styleId="14">
    <w:name w:val="xfg-fxqq"/>
    <w:basedOn w:val="4"/>
    <w:uiPriority w:val="0"/>
  </w:style>
  <w:style w:type="character" w:customStyle="1" w:styleId="15">
    <w:name w:val="mylnr-dayin1"/>
    <w:basedOn w:val="4"/>
    <w:uiPriority w:val="0"/>
  </w:style>
  <w:style w:type="character" w:customStyle="1" w:styleId="16">
    <w:name w:val="mylnr-pdf"/>
    <w:basedOn w:val="4"/>
    <w:uiPriority w:val="0"/>
  </w:style>
  <w:style w:type="character" w:customStyle="1" w:styleId="17">
    <w:name w:val="xfg-fxdb"/>
    <w:basedOn w:val="4"/>
    <w:uiPriority w:val="0"/>
  </w:style>
  <w:style w:type="character" w:customStyle="1" w:styleId="18">
    <w:name w:val="layui-laypage-curr"/>
    <w:basedOn w:val="4"/>
    <w:uiPriority w:val="0"/>
  </w:style>
  <w:style w:type="paragraph" w:customStyle="1" w:styleId="19">
    <w:name w:val="_Style 18"/>
    <w:basedOn w:val="1"/>
    <w:next w:val="1"/>
    <w:uiPriority w:val="0"/>
    <w:pPr>
      <w:pBdr>
        <w:bottom w:val="single" w:color="auto" w:sz="6" w:space="1"/>
      </w:pBdr>
      <w:jc w:val="center"/>
    </w:pPr>
    <w:rPr>
      <w:rFonts w:ascii="Arial" w:eastAsia="宋体"/>
      <w:vanish/>
      <w:sz w:val="16"/>
    </w:rPr>
  </w:style>
  <w:style w:type="paragraph" w:customStyle="1" w:styleId="20">
    <w:name w:val="_Style 19"/>
    <w:basedOn w:val="1"/>
    <w:next w:val="1"/>
    <w:uiPriority w:val="0"/>
    <w:pPr>
      <w:pBdr>
        <w:top w:val="single" w:color="auto" w:sz="6" w:space="1"/>
      </w:pBdr>
      <w:jc w:val="center"/>
    </w:pPr>
    <w:rPr>
      <w:rFonts w:ascii="Arial" w:eastAsia="宋体"/>
      <w:vanish/>
      <w:sz w:val="16"/>
    </w:rPr>
  </w:style>
  <w:style w:type="paragraph" w:customStyle="1" w:styleId="21">
    <w:name w:val="rong_zi_zhang"/>
    <w:basedOn w:val="1"/>
    <w:uiPriority w:val="0"/>
    <w:pPr>
      <w:jc w:val="center"/>
    </w:pPr>
    <w:rPr>
      <w:b/>
      <w:bCs/>
      <w:color w:val="333333"/>
      <w:kern w:val="0"/>
      <w:sz w:val="27"/>
      <w:szCs w:val="27"/>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2021-04-30T07:48:00Z</dcterms:created>
  <dc:creator>周永彬</dc:creator>
  <cp:lastModifiedBy>周永彬</cp:lastModifiedBy>
  <dcterms:modified xsi:type="dcterms:W3CDTF">2021-04-30T08:00:58Z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FE42DA8916534362A2BFEC2F2B7FF763</vt:lpwstr>
  </property>
</Properties>
</file>