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jc w:val="center"/>
        <w:textAlignment w:val="auto"/>
        <w:rPr>
          <w:rStyle w:val="6"/>
          <w:rFonts w:hint="eastAsia" w:asciiTheme="majorEastAsia" w:hAnsiTheme="majorEastAsia" w:eastAsiaTheme="majorEastAsia" w:cstheme="majorEastAsia"/>
          <w:sz w:val="44"/>
          <w:szCs w:val="44"/>
        </w:rPr>
      </w:pPr>
      <w:r>
        <w:rPr>
          <w:rStyle w:val="6"/>
          <w:rFonts w:hint="eastAsia" w:asciiTheme="majorEastAsia" w:hAnsiTheme="majorEastAsia" w:eastAsiaTheme="majorEastAsia" w:cstheme="majorEastAsia"/>
          <w:sz w:val="44"/>
          <w:szCs w:val="44"/>
        </w:rPr>
        <w:t>中华人</w:t>
      </w:r>
      <w:bookmarkStart w:id="0" w:name="_GoBack"/>
      <w:bookmarkEnd w:id="0"/>
      <w:r>
        <w:rPr>
          <w:rStyle w:val="6"/>
          <w:rFonts w:hint="eastAsia" w:asciiTheme="majorEastAsia" w:hAnsiTheme="majorEastAsia" w:eastAsiaTheme="majorEastAsia" w:cstheme="majorEastAsia"/>
          <w:sz w:val="44"/>
          <w:szCs w:val="44"/>
        </w:rPr>
        <w:t>民共和国职业教育法</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中华人民共和国职业教育法》是为了推动职业教育高质量发展，提高劳动者素质和技术技能水平，促进就业创业，建设教育强国、人力资源强国和技能型社会，推进社会主义现代化建设，根据宪法，制定的法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default" w:ascii="方正仿宋简体" w:hAnsi="方正仿宋简体" w:eastAsia="方正仿宋简体" w:cs="方正仿宋简体"/>
          <w:i w:val="0"/>
          <w:iCs w:val="0"/>
          <w:caps w:val="0"/>
          <w:color w:val="333333"/>
          <w:spacing w:val="0"/>
          <w:kern w:val="0"/>
          <w:sz w:val="32"/>
          <w:szCs w:val="32"/>
          <w:shd w:val="clear" w:fill="FFFFFF"/>
          <w:lang w:val="en-US" w:eastAsia="zh-CN" w:bidi="ar"/>
        </w:rPr>
        <w:t>2022年4月20日，第十三届全国人民代表大会常务委员会第三十四次会议通过《中华人民共和国职业教育法》修订，自2022年5月1日起施行。</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目    录</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第一章 总    则 </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第二章 职业教育体系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第三章 职业教育的实施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第四章 职业学校和职业培训机构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第五章 职业教育的教师与受教育者</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第六章 职业教育的保障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第七章 法律责任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第八章 附    则</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第一章  总    则</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第一条  为了推动职业教育高质量发展，提高劳动者素质和技术技能水平，促进就业创业，建设教育强国、人力资源强国和技能型社会，推进社会主义现代化建设，根据宪法，制定本法。</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机关、事业单位对其工作人员实施的专门培训由法律、行政法规另行规定。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第三条  职业教育是与普通教育具有同等重要地位的教育类型，是国民教育体系和人力资源开发的重要组成部分，是培养多样化人才、传承技术技能、促进就业创业的重要途径。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第五条  公民有依法接受职业教育的权利。</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第六条  职业教育实行政府统筹、分级管理、地方为主、行业指导、校企合作、社会参与。</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第七条  各级人民政府应当将发展职业教育纳入国民经济和社会发展规划，与促进就业创业和推动发展方式转变、产业结构调整、技术优化升级等整体部署、统筹实施。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第八条  国务院建立职业教育工作协调机制，统筹协调全国职业教育工作。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国务院教育行政部门负责职业教育工作的统筹规划、综合协调、宏观管理。国务院教育行政部门、人力资源社会保障行政部门和其他有关部门在国务院规定的职责范围内，分别负责有关的职业教育工作。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省、自治区、直辖市人民政府应当加强对本行政区域内职业教育工作的领导，明确设区的市、县级人民政府职业教育具体工作职责，统筹协调职业教育发展，组织开展督导评估。</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县级以上地方人民政府有关部门应当加强沟通配合，共同推进职业教育工作。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第九条  国家鼓励发展多种层次和形式的职业教育，推进多元办学，支持社会力量广泛、平等参与职业教育。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国家发挥企业的重要办学主体作用，推动企业深度参与职业教育，鼓励企业举办高质量职业教育。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有关行业主管部门、工会和中华职业教育社等群团组织、行业组织、企业、事业单位等应当依法履行实施职业教育的义务，参与、支持或者开展职业教育。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第十条  国家采取措施，大力发展技工教育，全面提高产业工人素质。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国家采取措施，支持举办面向农村的职业教育，组织开展农业技能培训、返乡创业就业培训和职业技能培训，培养高素质乡村振兴人才。</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国家采取措施，扶持革命老区、民族地区、边远地区、欠发达地区职业教育的发展。</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国家采取措施，组织各类转岗、再就业、失业人员以及特殊人群等接受各种形式的职业教育，扶持残疾人职业教育的发展。</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国家保障妇女平等接受职业教育的权利。</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一条  实施职业教育应当根据经济社会发展需要，结合职业分类、职业标准、职业发展需求，制定教育标准或者培训方案，实行学历证书及其他学业证书、培训证书、职业资格证书和职业技能等级证书制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国家实行劳动者在就业前或者上岗前接受必要的职业教育的制度。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第十二条  国家采取措施，提高技术技能人才的社会地位和待遇，弘扬劳动光荣、技能宝贵、创造伟大的时代风尚。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国家对在职业教育工作中做出显著成绩的单位和个人按照有关规定给予表彰、奖励。</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每年5月的第二周为职业教育活动周。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第十三条  国家鼓励职业教育领域的对外交流与合作，支持引进境外优质资源发展职业教育，鼓励有条件的职业教育机构赴境外办学，支持开展多种形式的职业教育学习成果互认。</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第二章  职业教育体系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第十四条  国家建立健全适应经济社会发展需要，产教深度融合，职业学校教育和职业培训并重，职业教育与普通教育相互融通，不同层次职业教育有效贯通，服务全民终身学习的现代职业教育体系。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国家优化教育结构，科学配置教育资源，在义务教育后的不同阶段因地制宜、统筹推进职业教育与普通教育协调发展。</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第十五条  职业学校教育分为中等职业学校教育、高等职业学校教育。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中等职业学校教育由高级中等教育层次的中等职业学校（含技工学校）实施。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高等职业学校教育由专科、本科及以上教育层次的高等职业学校和普通高等学校实施。根据高等职业学校设置制度规定，将符合条件的技师学院纳入高等职业学校序列。</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其他学校、教育机构或者符合条件的企业、行业组织按照教育行政部门的统筹规划，可以实施相应层次的职业学校教育或者提供纳入人才培养方案的学分课程。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第十六条  职业培训包括就业前培训、在职培训、再就业培训及其他职业性培训，可以根据实际情况分级分类实施。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职业培训可以由相应的职业培训机构、职业学校实施。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其他学校或者教育机构以及企业、社会组织可以根据办学能力、社会需求，依法开展面向社会的、多种形式的职业培训。</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第十七条  国家建立健全各级各类学校教育与职业培训学分、资历以及其他学习成果的认证、积累和转换机制，推进职业教育国家学分银行建设，促进职业教育与普通教育的学习成果融通、互认。</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军队职业技能等级纳入国家职业资格认证和职业技能等级评价体系。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国家采取措施，支持残疾人教育机构、职业学校、职业培训机构及其他教育机构开展或者联合开展残疾人职业教育。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从事残疾人职业教育的特殊教育教师按照规定享受特殊教育津贴。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第三章  职业教育的实施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第二十条  国务院教育行政部门会同有关部门根据经济社会发展需要和职业教育特点，组织制定、修订职业教育专业目录，完善职业教育教学等标准，宏观管理指导职业学校教材建设。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第二十一条  县级以上地方人民政府应当举办或者参与举办发挥骨干和示范作用的职业学校、职业培训机构，对社会力量依法举办的职业学校和职业培训机构给予指导和扶持。</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国家根据产业布局和行业发展需要，采取措施，大力发展先进制造等产业需要的新兴专业，支持高水平职业学校、专业建设。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国家采取措施，加快培养托育、护理、康养、家政等方面技术技能人才。</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第二十二条  县级人民政府可以根据县域经济社会发展的需要，设立职业教育中心学校，开展多种形式的职业教育，实施实用技术培训。</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教育行政部门可以委托职业教育中心学校承担教育教学指导、教育质量评价、教师培训等职业教育公共管理和服务工作。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第二十三条  行业主管部门按照行业、产业人才需求加强对职业教育的指导，定期发布人才需求信息。</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第二十四条  企业应当根据本单位实际，有计划地对本单位的职工和准备招用的人员实施职业教育，并可以设置专职或者兼职实施职业教育的岗位。</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企业开展职业教育的情况应当纳入企业社会责任报告。</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第二十五条  企业可以利用资本、技术、知识、设施、设备、场地和管理等要素，举办或者联合举办职业学校、职业培训机构。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第二十六条  国家鼓励、指导、支持企业和其他社会力量依法举办职业学校、职业培训机构。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第二十八条  联合举办职业学校、职业培训机构的，举办者应当签订联合办学协议，约定各方权利义务。</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地方各级人民政府及行业主管部门支持社会力量依法参与联合办学，举办多种形式的职业学校、职业培训机构。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行业主管部门、工会等群团组织、行业组织、企业、事业单位等委托学校、职业培训机构实施职业教育的，应当签订委托合同。</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企业与职业学校联合招收学生，以工学结合的方式进行学徒培养的，应当签订学徒培养协议。</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第三十二条  国家通过组织开展职业技能竞赛等活动，为技术技能人才提供展示技能、切磋技艺的平台，持续培养更多高素质技术技能人才、能工巧匠和大国工匠。</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第四章  职业学校和职业培训机构</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第三十三条  职业学校的设立，应当符合下列基本条件：</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（一）有组织机构和章程；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（二）有合格的教师和管理人员；</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（三）有与所实施职业教育相适应、符合规定标准和安全要求的教学及实习实训场所、设施、设备以及课程体系、教育教学资源等；</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（四）有必备的办学资金和与办学规模相适应的稳定经费来源。</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专科层次高等职业学校设置的培养高端技术技能人才的部分专业，符合产教深度融合、办学特色鲜明、培养质量较高等条件的，经国务院教育行政部门审批，可以实施本科层次的职业教育。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第三十四条  职业培训机构的设立，应当符合下列基本条件：</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（一）有组织机构和管理制度；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（二）有与培训任务相适应的课程体系、教师或者其他授课人员、管理人员；</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（三）有与培训任务相适应、符合安全要求的场所、设施、设备；</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（四）有相应的经费。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职业培训机构的设立、变更和终止，按照国家有关规定执行。</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校长全面负责本学校教学、科学研究和其他行政管理工作。校长通过校长办公会或者校务会议行使职权，依法接受监督。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职业学校可以通过咨询、协商等多种形式，听取行业组织、企业、学校毕业生等方面代表的意见，发挥其参与学校建设、支持学校发展的作用。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第三十六条  职业学校应当依法办学，依据章程自主管理。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职业学校在办学中可以开展下列活动：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（一）根据产业需求，依法自主设置专业；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（二）基于职业教育标准制定人才培养方案，依法自主选用或者编写专业课程教材；</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（三）根据培养技术技能人才的需要，自主设置学习制度，安排教学过程；</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（四）在基本学制基础上，适当调整修业年限，实行弹性学习制度；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（五）依法自主选聘专业课教师。</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第三十七条  国家建立符合职业教育特点的考试招生制度。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中等职业学校可以按照国家有关规定，在有关专业实行与高等职业学校教育的贯通招生和培养。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高等职业学校可以按照国家有关规定，采取文化素质与职业技能相结合的考核方式招收学生；对有突出贡献的技术技能人才，经考核合格，可以破格录取。</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省级以上人民政府教育行政部门会同同级人民政府有关部门建立职业教育统一招生平台，汇总发布实施职业教育的学校及其专业设置、招生情况等信息，提供查询、报考等服务。</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第三十八条  职业学校应当加强校风学风、师德师风建设，营造良好学习环境，保证教育教学质量。</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第三十九条  职业学校应当建立健全就业创业促进机制，采取多种形式为学生提供职业规划、职业体验、求职指导等就业创业服务，增强学生就业创业能力。</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第四十条  职业学校、职业培训机构实施职业教育应当注重产教融合，实行校企合作。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职业学校、职业培训机构可以通过与行业组织、企业、事业单位等共同举办职业教育机构、组建职业教育集团、开展订单培养等多种形式进行合作。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职业学校、职业培训机构实施前款规定的活动，符合国家有关规定的，享受相关税费优惠政策。</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第四十二条  职业学校按照规定的收费标准和办法，收取学费和其他必要费用；符合国家规定条件的，应当予以减免；不得以介绍工作、安排实习实训等名义违法收取费用。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职业培训机构、职业学校面向社会开展培训的，按照国家有关规定收取费用。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第四十三条  职业学校、职业培训机构应当建立健全教育质量评价制度，吸纳行业组织、企业等参与评价，并及时公开相关信息，接受教育督导和社会监督。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职业教育质量评价应当突出就业导向，把受教育者的职业道德、技术技能水平、就业质量作为重要指标，引导职业学校培养高素质技术技能人才。</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有关部门应当按照各自职责，加强对职业学校、职业培训机构的监督管理。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第五章  职业教育的教师与受教育者</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第四十四条  国家保障职业教育教师的权利，提高其专业素质与社会地位。</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县级以上人民政府及其有关部门应当将职业教育教师的培养培训工作纳入教师队伍建设规划，保证职业教育教师队伍适应职业教育发展的需要。</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第四十五条  国家建立健全职业教育教师培养培训体系。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各级人民政府应当采取措施，加强职业教育教师专业化培养培训，鼓励设立专门的职业教育师范院校，支持高等学校设立相关专业，培养职业教育教师；鼓励行业组织、企业共同参与职业教育教师培养培训。</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产教融合型企业、规模以上企业应当安排一定比例的岗位，接纳职业学校、职业培训机构教师实践。</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第四十六条  国家建立健全符合职业教育特点和发展要求的职业学校教师岗位设置和职务（职称）评聘制度。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职业学校的专业课教师（含实习指导教师）应当具有一定年限的相应工作经历或者实践经验，达到相应的技术技能水平。</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第四十八条  国家制定职业学校教职工配备基本标准。省、自治区、直辖市应当根据基本标准，制定本地区职业学校教职工配备标准。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第四十九条  职业学校学生应当遵守法律、法规和学生行为规范，养成良好的职业道德、职业精神和行为习惯，努力学习，完成规定的学习任务，按照要求参加实习实训，掌握技术技能。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职业学校学生的合法权益，受法律保护。</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学业证书、培训证书、职业资格证书和职业技能等级证书，按照国家有关规定，作为受教育者从业的凭证。</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接受职业培训取得的职业技能等级证书、培训证书等学习成果，经职业学校认定，可以转化为相应的学历教育学分；达到相应职业学校学业要求的，可以取得相应的学业证书。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接受高等职业学校教育，学业水平达到国家规定的学位标准的，可以依法申请相应学位。</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国家支持企业、事业单位、社会组织及公民个人按照国家有关规定设立职业教育奖学金、助学金，奖励优秀学生，资助经济困难的学生。</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职业学校应当按照国家有关规定从事业收入或者学费收入中提取一定比例资金，用于奖励和资助学生。</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省、自治区、直辖市人民政府有关部门应当完善职业学校资助资金管理制度，规范资助资金管理使用。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第五十三条  职业学校学生在升学、就业、职业发展等方面与同层次普通学校学生享有平等机会。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高等职业学校和实施职业教育的普通高等学校应当在招生计划中确定相应比例或者采取单独考试办法，专门招收职业学校毕业生。</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第六章  职业教育的保障</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第五十四条  国家优化教育经费支出结构，使职业教育经费投入与职业教育发展需求相适应，鼓励通过多种渠道依法筹集发展职业教育的资金。</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第五十五条  各级人民政府应当按照事权和支出责任相适应的原则，根据职业教育办学规模、培养成本和办学质量等落实职业教育经费，并加强预算绩效管理，提高资金使用效益。</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民办职业学校举办者应当参照同层次职业学校生均经费标准，通过多种渠道筹措经费。</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财政专项安排、社会捐赠指定用于职业教育的经费，任何组织和个人不得挪用、克扣。</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第五十六条  地方各级人民政府安排地方教育附加等方面的经费，应当将其中可用于职业教育的资金统筹使用；发挥失业保险基金作用，支持职工提升职业技能。</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第五十七条  各级人民政府加大面向农村的职业教育投入，可以将农村科学技术开发、技术推广的经费适当用于农村职业培训。</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企业设立具备生产与教学功能的产教融合实习实训基地所发生的费用，可以参照职业学校享受相应的用地、公用事业费等优惠。</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第五十九条  国家鼓励金融机构通过提供金融服务支持发展职业教育。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第六十条  国家鼓励企业、事业单位、社会组织及公民个人对职业教育捐资助学，鼓励境外的组织和个人对职业教育提供资助和捐赠。提供的资助和捐赠，必须用于职业教育。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第六十一条  国家鼓励和支持开展职业教育的科学技术研究、教材和教学资源开发，推进职业教育资源跨区域、跨行业、跨部门共建共享。</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国家逐步建立反映职业教育特点和功能的信息统计和管理体系。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县级以上人民政府及其有关部门应当建立健全职业教育服务和保障体系，组织、引导工会等群团组织、行业组织、企业、学校等开展职业教育研究、宣传推广、人才供需对接等活动。</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第六十二条  新闻媒体和职业教育有关方面应当积极开展职业教育公益宣传，弘扬技术技能人才成长成才典型事迹，营造人人努力成才、人人皆可成才、人人尽展其才的良好社会氛围。</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第七章  法律责任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第六十三条  在职业教育活动中违反《中华人民共和国教育法》、《中华人民共和国劳动法》等有关法律规定的，依照有关法律的规定给予处罚。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第六十六条  接纳职业学校和职业培训机构学生实习的单位违反本法规定，侵害学生休息休假、获得劳动安全卫生保护、参加相关保险、接受职业技能指导等权利的，依法承担相应的法律责任。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第六十七条  教育行政部门、人力资源社会保障行政部门或者其他有关部门的工作人员违反本法规定，滥用职权、玩忽职守、徇私舞弊的，依法给予处分；构成犯罪的，依法追究刑事责任。</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第八章  附    则</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第六十八条  境外的组织和个人在境内举办职业学校、职业培训机构，适用本法；法律、行政法规另有规定的，从其规定。</w:t>
      </w:r>
    </w:p>
    <w:p>
      <w:pPr>
        <w:keepNext w:val="0"/>
        <w:keepLines w:val="0"/>
        <w:pageBreakBefore w:val="0"/>
        <w:widowControl w:val="0"/>
        <w:suppressLineNumbers w:val="0"/>
        <w:shd w:val="clear" w:fill="FFFFFF"/>
        <w:kinsoku/>
        <w:wordWrap/>
        <w:overflowPunct/>
        <w:topLinePunct w:val="0"/>
        <w:autoSpaceDE/>
        <w:autoSpaceDN/>
        <w:bidi w:val="0"/>
        <w:adjustRightInd w:val="0"/>
        <w:snapToGrid w:val="0"/>
        <w:spacing w:afterAutospacing="0" w:line="480" w:lineRule="exact"/>
        <w:ind w:lef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第六十九条  本法自2022年5月1日起施行。</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eastAsia" w:ascii="方正仿宋简体" w:hAnsi="方正仿宋简体" w:eastAsia="方正仿宋简体" w:cs="方正仿宋简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069BF"/>
    <w:rsid w:val="3A0069BF"/>
    <w:rsid w:val="65DF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10535</Words>
  <Characters>10545</Characters>
  <Lines>0</Lines>
  <Paragraphs>0</Paragraphs>
  <TotalTime>3</TotalTime>
  <ScaleCrop>false</ScaleCrop>
  <LinksUpToDate>false</LinksUpToDate>
  <CharactersWithSpaces>10545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2022-05-05T03:35:00Z</dcterms:created>
  <dc:creator>周永彬</dc:creator>
  <cp:lastModifiedBy>周永彬</cp:lastModifiedBy>
  <dcterms:modified xsi:type="dcterms:W3CDTF">2022-05-05T03:38:58Z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B355E93F5E7D4142A501F0B5FB80FD3A</vt:lpwstr>
  </property>
</Properties>
</file>