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方正小标宋简体"/>
          <w:sz w:val="32"/>
          <w:szCs w:val="32"/>
        </w:rPr>
      </w:pPr>
      <w:r>
        <w:rPr>
          <w:rFonts w:hint="eastAsia" w:ascii="方正小标宋简体" w:hAnsi="宋体" w:eastAsia="方正小标宋简体" w:cs="Times New Roman"/>
          <w:color w:val="CC3300"/>
          <w:w w:val="80"/>
          <w:sz w:val="72"/>
          <w:szCs w:val="72"/>
        </w:rPr>
        <w:t>天津石油职业技术学院操作规程</w:t>
      </w:r>
    </w:p>
    <w:p>
      <w:pPr>
        <w:adjustRightInd w:val="0"/>
        <w:snapToGrid w:val="0"/>
        <w:spacing w:line="440" w:lineRule="exact"/>
        <w:jc w:val="center"/>
        <w:rPr>
          <w:rFonts w:ascii="黑体" w:hAnsi="黑体" w:eastAsia="黑体" w:cs="黑体"/>
          <w:bCs/>
          <w:snapToGrid w:val="0"/>
          <w:color w:val="000000"/>
          <w:spacing w:val="-2"/>
          <w:kern w:val="0"/>
          <w:sz w:val="32"/>
          <w:szCs w:val="32"/>
        </w:rPr>
      </w:pPr>
      <w:bookmarkStart w:id="0" w:name="_GoBack"/>
      <w:r>
        <w:rPr>
          <w:rFonts w:hint="eastAsia" w:ascii="黑体" w:hAnsi="黑体" w:eastAsia="黑体" w:cs="黑体"/>
          <w:bCs/>
          <w:snapToGrid w:val="0"/>
          <w:color w:val="000000"/>
          <w:spacing w:val="-2"/>
          <w:kern w:val="0"/>
          <w:sz w:val="32"/>
          <w:szCs w:val="32"/>
        </w:rPr>
        <w:t>GNSS接收机操作规程</w:t>
      </w:r>
      <w:bookmarkEnd w:id="0"/>
    </w:p>
    <w:p>
      <w:pPr>
        <w:adjustRightInd w:val="0"/>
        <w:snapToGrid w:val="0"/>
        <w:spacing w:line="440" w:lineRule="exact"/>
        <w:jc w:val="center"/>
        <w:rPr>
          <w:rFonts w:ascii="方正仿宋简体" w:hAnsi="方正仿宋简体" w:eastAsia="方正仿宋简体" w:cs="方正仿宋简体"/>
          <w:color w:val="000000"/>
          <w:sz w:val="32"/>
          <w:szCs w:val="32"/>
        </w:rPr>
      </w:pPr>
    </w:p>
    <w:p>
      <w:pPr>
        <w:adjustRightInd w:val="0"/>
        <w:snapToGrid w:val="0"/>
        <w:spacing w:line="440" w:lineRule="exact"/>
        <w:rPr>
          <w:rFonts w:ascii="方正仿宋简体" w:hAnsi="方正仿宋简体" w:eastAsia="方正仿宋简体" w:cs="方正仿宋简体"/>
          <w:color w:val="00000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color w:val="000000"/>
          <w:sz w:val="28"/>
          <w:szCs w:val="28"/>
        </w:rPr>
        <w:t>文件编码：</w:t>
      </w:r>
      <w:r>
        <w:rPr>
          <w:rFonts w:ascii="方正仿宋简体" w:hAnsi="方正仿宋简体" w:eastAsia="方正仿宋简体" w:cs="方正仿宋简体"/>
          <w:color w:val="000000"/>
          <w:sz w:val="28"/>
          <w:szCs w:val="28"/>
        </w:rPr>
        <w:t>GC/HBYT 39-0626-202</w:t>
      </w:r>
      <w:r>
        <w:rPr>
          <w:rFonts w:hint="eastAsia" w:ascii="方正仿宋简体" w:hAnsi="方正仿宋简体" w:eastAsia="方正仿宋简体" w:cs="方正仿宋简体"/>
          <w:color w:val="000000"/>
          <w:sz w:val="28"/>
          <w:szCs w:val="28"/>
        </w:rPr>
        <w:t xml:space="preserve">2               </w:t>
      </w:r>
      <w:r>
        <w:rPr>
          <w:rFonts w:hint="eastAsia" w:ascii="方正仿宋简体" w:hAnsi="方正仿宋简体" w:eastAsia="方正仿宋简体" w:cs="方正仿宋简体"/>
          <w:color w:val="000000"/>
          <w:sz w:val="28"/>
          <w:szCs w:val="28"/>
          <w:lang w:val="en-US" w:eastAsia="zh-CN"/>
        </w:rPr>
        <w:t xml:space="preserve">  </w:t>
      </w:r>
      <w:r>
        <w:rPr>
          <w:rFonts w:hint="eastAsia" w:ascii="方正仿宋简体" w:hAnsi="方正仿宋简体" w:eastAsia="方正仿宋简体" w:cs="方正仿宋简体"/>
          <w:color w:val="000000"/>
          <w:sz w:val="28"/>
          <w:szCs w:val="28"/>
        </w:rPr>
        <w:t xml:space="preserve"> 修订次数：1</w:t>
      </w:r>
    </w:p>
    <w:p>
      <w:pPr>
        <w:adjustRightInd w:val="0"/>
        <w:snapToGrid w:val="0"/>
        <w:spacing w:line="440" w:lineRule="exact"/>
        <w:jc w:val="left"/>
        <w:rPr>
          <w:rFonts w:hint="eastAsia" w:ascii="方正仿宋简体" w:hAnsi="方正仿宋简体" w:eastAsia="仿宋_GB2312" w:cs="方正仿宋简体"/>
          <w:color w:val="00000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 xml:space="preserve">发行版本：E </w:t>
      </w:r>
      <w:r>
        <w:rPr>
          <w:rFonts w:hint="eastAsia" w:ascii="方正仿宋简体" w:hAnsi="方正仿宋简体" w:eastAsia="方正仿宋简体" w:cs="方正仿宋简体"/>
          <w:color w:val="000000"/>
          <w:sz w:val="28"/>
          <w:szCs w:val="28"/>
        </w:rPr>
        <w:t xml:space="preserve">                                    页    码：</w:t>
      </w:r>
      <w:r>
        <w:rPr>
          <w:rFonts w:hint="eastAsia" w:ascii="Times New Roman" w:hAnsi="Times New Roman" w:eastAsia="仿宋_GB2312" w:cs="Times New Roman"/>
          <w:b w:val="0"/>
          <w:bCs w:val="0"/>
          <w:sz w:val="28"/>
          <w:szCs w:val="28"/>
        </w:rPr>
        <w:t>1/</w:t>
      </w:r>
      <w:r>
        <w:rPr>
          <w:rFonts w:hint="eastAsia" w:ascii="Times New Roman" w:hAnsi="Times New Roman" w:eastAsia="仿宋_GB2312" w:cs="Times New Roman"/>
          <w:b w:val="0"/>
          <w:bCs w:val="0"/>
          <w:sz w:val="28"/>
          <w:szCs w:val="28"/>
          <w:lang w:val="en-US" w:eastAsia="zh-CN"/>
        </w:rPr>
        <w:t>2</w:t>
      </w:r>
    </w:p>
    <w:p>
      <w:pPr>
        <w:spacing w:line="520" w:lineRule="exact"/>
        <w:ind w:right="1375" w:rightChars="655"/>
        <w:rPr>
          <w:rFonts w:ascii="方正仿宋简体" w:hAnsi="方正仿宋简体" w:eastAsia="方正仿宋简体" w:cs="方正仿宋简体"/>
          <w:bCs/>
          <w:color w:val="000000"/>
          <w:sz w:val="32"/>
          <w:szCs w:val="32"/>
        </w:rPr>
      </w:pPr>
      <w:r>
        <w:rPr>
          <w:rFonts w:ascii="方正仿宋简体" w:hAnsi="方正仿宋简体" w:eastAsia="方正仿宋简体" w:cs="方正仿宋简体"/>
          <w:bCs/>
          <w:color w:val="000000"/>
          <w:sz w:val="32"/>
          <w:szCs w:val="32"/>
        </w:rPr>
        <w:pict>
          <v:line id="_x0000_s1026" o:spid="_x0000_s1026" o:spt="20" style="position:absolute;left:0pt;flip:x;margin-left:-5.25pt;margin-top:10.9pt;height:0pt;width:432pt;z-index:251659264;mso-width-relative:page;mso-height-relative:page;" stroked="t" coordsize="21600,21600" o:gfxdata="UEsDBAoAAAAAAIdO4kAAAAAAAAAAAAAAAAAEAAAAZHJzL1BLAwQUAAAACACHTuJAM0iU3NcAAAAJ&#10;AQAADwAAAGRycy9kb3ducmV2LnhtbE2PPU/DMBCGdyT+g3VIbK2dlKIS4nRAgqESQrQd6ObG1zjC&#10;Pkex+8G/5xADjPfeo/ejXl6CFyccUx9JQzFVIJDaaHvqNGw3z5MFiJQNWeMjoYYvTLBsrq9qU9l4&#10;pnc8rXMn2IRSZTS4nIdKytQ6DCZN44DEv0Mcg8l8jp20ozmzefCyVOpeBtMTJzgz4JPD9nN9DBo+&#10;tvn1bbc7bMoHV969rHy0s1XU+vamUI8gMl7yHww/9bk6NNxpH49kk/AaJoWaM6qhLHgCA4v5jIX9&#10;ryCbWv5f0HwDUEsDBBQAAAAIAIdO4kA3vHsAEgIAABsEAAAOAAAAZHJzL2Uyb0RvYy54bWytU0uO&#10;EzEQ3SNxB8t70kk0GYVWOrOYMLBAEAk4QMWfbkv+yXbSySW4ABI7WLFkz21mOAZldyYzDJss6IVV&#10;tsuv6r16vbjaG012IkTlbEMnozElwjLHlW0b+unjzYs5JTGB5aCdFQ09iEivls+fLXpfi6nrnOYi&#10;EASxse59Q7uUfF1VkXXCQBw5LyxeShcMJNyGtuIBekQ3upqOx5dV7wL3wTERI56uhkt6RAznADop&#10;FRMrx7ZG2DSgBqEhIaXYKR/psnQrpWDpvZRRJKIbikxTWbEIxpu8VssF1G0A3yl2bAHOaeEJJwPK&#10;YtET1AoSkG1Q/0AZxYKLTqYRc6YaiBRFkMVk/ESbDx14Ubig1NGfRI//D5a9260DURydQIkFgwO/&#10;+/Lz9vO337++4nr34zuZZJF6H2vMvbbrcNxFvw6Z8V4GQ6RW/k3GyCfIiuyLxIeTxGKfCMPD2cX8&#10;8mKM6rP7u2qAyA99iOm1cIbkoKFa2cweati9jQnLYup9Sj627kZpXSaoLekb+nI2nSEyoCslugFD&#10;45FZtC0loFu0O0uhIEanFc+vM04M7eZaB7KDbJLyZcpY7a+0XHoFsRvyytVgH6MS/hFamYbOT6+h&#10;7gTwV5aTdPCoqsWfieYmjeCUaIHN5Kh0n0DpczKxI22xsTyMQf4cbRw/4Ay3Pqi2Q9nKvEoOeqbQ&#10;OPo7m/LxviA9/NPLP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DNIlNzXAAAACQEAAA8AAAAAAAAA&#10;AQAgAAAAIgAAAGRycy9kb3ducmV2LnhtbFBLAQIUABQAAAAIAIdO4kA3vHsAEgIAABsEAAAOAAAA&#10;AAAAAAEAIAAAACYBAABkcnMvZTJvRG9jLnhtbFBLBQYAAAAABgAGAFkBAACqBQAAAAA=&#10;">
            <v:path arrowok="t"/>
            <v:fill focussize="0,0"/>
            <v:stroke color="#000000" joinstyle="miter"/>
            <v:imagedata o:title=""/>
            <o:lock v:ext="edit"/>
          </v:line>
        </w:pic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right="0" w:rightChars="0"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bCs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Cs/>
          <w:sz w:val="28"/>
          <w:szCs w:val="28"/>
        </w:rPr>
        <w:t>1  主题内容和适用范围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right="0" w:rightChars="0"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本规程规定了GNSS接收机的操作、使用和维护保养的内容和要求。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right="0" w:rightChars="0"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本规程适用于GNSS实训操作岗位。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right="0" w:rightChars="0"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bCs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Cs/>
          <w:sz w:val="28"/>
          <w:szCs w:val="28"/>
        </w:rPr>
        <w:t>2  HSE风险提示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right="0" w:rightChars="0"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2.1  可能发生火灾、爆炸、物体打击伤人风险。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right="0" w:rightChars="0"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bCs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Cs/>
          <w:sz w:val="28"/>
          <w:szCs w:val="28"/>
        </w:rPr>
        <w:t>3  内容及要求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right="0" w:rightChars="0"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bCs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Cs/>
          <w:sz w:val="28"/>
          <w:szCs w:val="28"/>
        </w:rPr>
        <w:t>3.1观测前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right="0" w:rightChars="0"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使用前首先要检查仪器各部件是否完好，电池、内存是否足够。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right="0" w:rightChars="0"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kern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kern w:val="0"/>
          <w:sz w:val="28"/>
          <w:szCs w:val="28"/>
        </w:rPr>
        <w:t>检查脚架、基座是否完好，否则不能使用。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right="0" w:rightChars="0"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kern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kern w:val="0"/>
          <w:sz w:val="28"/>
          <w:szCs w:val="28"/>
        </w:rPr>
        <w:t>作业运输时，应将接收机放置到仪器箱内，并采取防震措施，不得碰撞倒置和重压。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right="0" w:rightChars="0"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kern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kern w:val="0"/>
          <w:sz w:val="28"/>
          <w:szCs w:val="28"/>
        </w:rPr>
        <w:t>架设仪器前要检查脚架是否稳固安全，仪器是否稳固地连接在脚架、基座上，以防止仪器意外跌落。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right="0" w:rightChars="0"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kern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kern w:val="0"/>
          <w:sz w:val="28"/>
          <w:szCs w:val="28"/>
        </w:rPr>
        <w:t>架设好GPS接收机，检查确认接收机的各项功能设置。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right="0" w:rightChars="0"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kern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kern w:val="0"/>
          <w:sz w:val="28"/>
          <w:szCs w:val="28"/>
        </w:rPr>
        <w:t>3.2 观测中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right="0" w:rightChars="0"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kern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kern w:val="0"/>
          <w:sz w:val="28"/>
          <w:szCs w:val="28"/>
        </w:rPr>
        <w:t>GPS接收机采集信号时，每个时段观测前后各量取天线高度一次，两次互差不得大于3mm，GPS天线高的量测一般都是量的斜高，不要人为地改为垂直高；要对称量两个方向，然后取平均值；观测中作业员要逐项填写测量手薄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2"/>
        </w:numPr>
        <w:kinsoku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right="0" w:rightChars="0"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kern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kern w:val="0"/>
          <w:sz w:val="28"/>
          <w:szCs w:val="28"/>
        </w:rPr>
        <w:t>一个时段观测过程中严禁以下操作：关闭接收机重新启动；进行自测试；改装接收机预设参数，改变天线位置，按关闭和删除文件功能键等。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2"/>
        </w:numPr>
        <w:kinsoku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right="0" w:rightChars="0"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kern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kern w:val="0"/>
          <w:sz w:val="28"/>
          <w:szCs w:val="28"/>
        </w:rPr>
        <w:t>GPS在做静态复核测量时，根据控制测量等级要求，CPI点应连续观测2小时以上，CPII点应连续观测1小时以上；在做GPS加密点测量时应保证1小时以上的连续观测。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2"/>
        </w:numPr>
        <w:kinsoku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right="0" w:rightChars="0"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kern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kern w:val="0"/>
          <w:sz w:val="28"/>
          <w:szCs w:val="28"/>
        </w:rPr>
        <w:t>GPS接收机在采集数据时，其仰角15°范围内不得有任何障碍物；周围五十米范围内不得有高压输电线，和大的水面、湖泊，防止产生多路径效应。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2"/>
        </w:numPr>
        <w:kinsoku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right="0" w:rightChars="0"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kern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kern w:val="0"/>
          <w:sz w:val="28"/>
          <w:szCs w:val="28"/>
        </w:rPr>
        <w:t>在观测过程中，不应靠近接收机使用手机、对讲机，其距离应保持在10米以上，以防止降低观测精度。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2"/>
        </w:numPr>
        <w:kinsoku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right="0" w:rightChars="0"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kern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kern w:val="0"/>
          <w:sz w:val="28"/>
          <w:szCs w:val="28"/>
        </w:rPr>
        <w:t>GPS接收机在搬站的过程中，应将前两台接收机固定不动，将后两台向前移动，确保异步环之间通过相同的基线边连接。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right="0" w:rightChars="0"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kern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kern w:val="0"/>
          <w:sz w:val="28"/>
          <w:szCs w:val="28"/>
        </w:rPr>
        <w:t>3.3 观测后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3"/>
        </w:numPr>
        <w:kinsoku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right="0" w:rightChars="0"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kern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kern w:val="0"/>
          <w:sz w:val="28"/>
          <w:szCs w:val="28"/>
        </w:rPr>
        <w:t>GPS接收机数据在传输前，应设置好各项参数并将各观测数据对应的点名、观测时段、天线高输入观测数据，以备解算基线使用。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3"/>
        </w:numPr>
        <w:kinsoku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right="0" w:rightChars="0"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kern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kern w:val="0"/>
          <w:sz w:val="28"/>
          <w:szCs w:val="28"/>
        </w:rPr>
        <w:t>基线向量解算时，可根据不同情况，设置好是解算部分基线还是解算全部基线，软件将自动解算。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3"/>
        </w:numPr>
        <w:kinsoku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right="0" w:rightChars="0"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kern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kern w:val="0"/>
          <w:sz w:val="28"/>
          <w:szCs w:val="28"/>
        </w:rPr>
        <w:t>基线向量解算后，可初步检查一下评判各基线的置信参数，检查同步环、异步环等闭合差，检查不同时段同一条边的较差，查出超限原因，剔除有粗差的基线，若发现有问题的基线，还可以查看各点接收到的卫星状况及其他有关部因素，以查找原因，确定此基线是否重新解算还是重测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3"/>
        </w:numPr>
        <w:kinsoku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right="0" w:rightChars="0"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kern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kern w:val="0"/>
          <w:sz w:val="28"/>
          <w:szCs w:val="28"/>
        </w:rPr>
        <w:t>GPS定位成果属于WGS—84大地坐标系，而实用的测量成果是属于国家坐标系或地方坐标系，因此必须解决成果的坐标转换问题。</w:t>
      </w:r>
      <w:r>
        <w:rPr>
          <w:rFonts w:hint="eastAsia" w:ascii="方正仿宋简体" w:hAnsi="方正仿宋简体" w:eastAsia="方正仿宋简体" w:cs="方正仿宋简体"/>
          <w:color w:val="FF0000"/>
          <w:kern w:val="0"/>
          <w:sz w:val="28"/>
          <w:szCs w:val="28"/>
        </w:rPr>
        <w:br w:type="textWrapping"/>
      </w:r>
      <w:r>
        <w:rPr>
          <w:rFonts w:hint="eastAsia" w:ascii="方正仿宋简体" w:hAnsi="方正仿宋简体" w:eastAsia="方正仿宋简体" w:cs="方正仿宋简体"/>
          <w:kern w:val="0"/>
          <w:sz w:val="28"/>
          <w:szCs w:val="28"/>
        </w:rPr>
        <w:t>注:CPI是基础平面控制网的英文简称。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right="0" w:rightChars="0"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right"/>
    </w:pPr>
    <w:r>
      <w:t>发布日期：</w:t>
    </w:r>
    <w:r>
      <w:rPr>
        <w:rFonts w:hint="eastAsia"/>
      </w:rPr>
      <w:t>2022年8月31日</w:t>
    </w:r>
  </w:p>
  <w:p>
    <w:pPr>
      <w:pStyle w:val="5"/>
      <w:jc w:val="right"/>
    </w:pPr>
    <w:r>
      <w:t>实施日期：</w:t>
    </w:r>
    <w:r>
      <w:rPr>
        <w:rFonts w:hint="eastAsia"/>
      </w:rPr>
      <w:t>2022年8月31日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52791F"/>
    <w:multiLevelType w:val="multilevel"/>
    <w:tmpl w:val="5952791F"/>
    <w:lvl w:ilvl="0" w:tentative="0">
      <w:start w:val="1"/>
      <w:numFmt w:val="decimal"/>
      <w:lvlText w:val="%1)"/>
      <w:lvlJc w:val="left"/>
      <w:pPr>
        <w:ind w:left="420" w:hanging="420"/>
      </w:pPr>
      <w:rPr>
        <w:rFonts w:asciiTheme="minorEastAsia" w:hAnsiTheme="minorEastAsia" w:eastAsiaTheme="minor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8A135F0"/>
    <w:multiLevelType w:val="multilevel"/>
    <w:tmpl w:val="68A135F0"/>
    <w:lvl w:ilvl="0" w:tentative="0">
      <w:start w:val="1"/>
      <w:numFmt w:val="decimal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4192731"/>
    <w:multiLevelType w:val="multilevel"/>
    <w:tmpl w:val="74192731"/>
    <w:lvl w:ilvl="0" w:tentative="0">
      <w:start w:val="1"/>
      <w:numFmt w:val="decimal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YzOWNiODFmOGIxMTg4MWQyNTZlMmYwNGU3ZDFmNTQifQ=="/>
  </w:docVars>
  <w:rsids>
    <w:rsidRoot w:val="165B1FF0"/>
    <w:rsid w:val="000A7F82"/>
    <w:rsid w:val="00123ECB"/>
    <w:rsid w:val="002D36EF"/>
    <w:rsid w:val="00371C5D"/>
    <w:rsid w:val="00590379"/>
    <w:rsid w:val="0078702F"/>
    <w:rsid w:val="008157F8"/>
    <w:rsid w:val="00A60F34"/>
    <w:rsid w:val="00A77CEF"/>
    <w:rsid w:val="00B726A8"/>
    <w:rsid w:val="00B87426"/>
    <w:rsid w:val="00BB7F21"/>
    <w:rsid w:val="00C657B9"/>
    <w:rsid w:val="00F20113"/>
    <w:rsid w:val="0AFC38D8"/>
    <w:rsid w:val="165B1FF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after="120"/>
    </w:pPr>
  </w:style>
  <w:style w:type="paragraph" w:styleId="3">
    <w:name w:val="Date"/>
    <w:basedOn w:val="1"/>
    <w:next w:val="1"/>
    <w:uiPriority w:val="0"/>
    <w:pPr>
      <w:ind w:left="100" w:leftChars="2500"/>
    </w:pPr>
  </w:style>
  <w:style w:type="paragraph" w:styleId="4">
    <w:name w:val="Balloon Text"/>
    <w:basedOn w:val="1"/>
    <w:link w:val="12"/>
    <w:uiPriority w:val="0"/>
    <w:rPr>
      <w:sz w:val="18"/>
      <w:szCs w:val="18"/>
    </w:rPr>
  </w:style>
  <w:style w:type="paragraph" w:styleId="5">
    <w:name w:val="footer"/>
    <w:basedOn w:val="1"/>
    <w:link w:val="1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uiPriority w:val="0"/>
    <w:rPr>
      <w:kern w:val="2"/>
      <w:sz w:val="18"/>
      <w:szCs w:val="18"/>
    </w:rPr>
  </w:style>
  <w:style w:type="character" w:customStyle="1" w:styleId="10">
    <w:name w:val="页脚 Char"/>
    <w:basedOn w:val="8"/>
    <w:link w:val="5"/>
    <w:uiPriority w:val="99"/>
    <w:rPr>
      <w:kern w:val="2"/>
      <w:sz w:val="18"/>
      <w:szCs w:val="18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2">
    <w:name w:val="批注框文本 Char"/>
    <w:basedOn w:val="8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979</Words>
  <Characters>1050</Characters>
  <Lines>8</Lines>
  <Paragraphs>2</Paragraphs>
  <TotalTime>6</TotalTime>
  <ScaleCrop>false</ScaleCrop>
  <LinksUpToDate>false</LinksUpToDate>
  <CharactersWithSpaces>1118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2022-04-13T00:56:00Z</dcterms:created>
  <dc:creator>周永彬</dc:creator>
  <cp:lastModifiedBy>11441</cp:lastModifiedBy>
  <dcterms:modified xsi:type="dcterms:W3CDTF">2022-09-02T02:52:44Z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DD3563CEA07447C9AF406C95F9DF7FAA</vt:lpwstr>
  </property>
</Properties>
</file>