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color w:val="FF0000"/>
        </w:rPr>
      </w:pPr>
      <w:r>
        <w:rPr>
          <w:rFonts w:hint="eastAsia" w:ascii="等线" w:hAnsi="等线" w:eastAsia="等线" w:cs="等线"/>
          <w:color w:val="FF0000"/>
          <w:sz w:val="52"/>
          <w:szCs w:val="52"/>
        </w:rPr>
        <w:t>天津石油职业技术学院操作规程</w:t>
      </w:r>
    </w:p>
    <w:p>
      <w:pPr>
        <w:jc w:val="center"/>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激光垂准仪操作规程</w:t>
      </w:r>
    </w:p>
    <w:p>
      <w:pPr>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 xml:space="preserve">文件编码：GC/HBYT 39-0632-2022               </w:t>
      </w:r>
      <w:r>
        <w:rPr>
          <w:rFonts w:hint="eastAsia" w:ascii="方正仿宋简体" w:hAnsi="方正仿宋简体" w:eastAsia="方正仿宋简体" w:cs="方正仿宋简体"/>
          <w:sz w:val="28"/>
          <w:szCs w:val="28"/>
          <w:lang w:val="en-US" w:eastAsia="zh-CN"/>
        </w:rPr>
        <w:t xml:space="preserve">  </w:t>
      </w:r>
      <w:r>
        <w:rPr>
          <w:rFonts w:hint="eastAsia" w:ascii="方正仿宋简体" w:hAnsi="方正仿宋简体" w:eastAsia="方正仿宋简体" w:cs="方正仿宋简体"/>
          <w:sz w:val="28"/>
          <w:szCs w:val="28"/>
        </w:rPr>
        <w:t>修订次数：1</w:t>
      </w:r>
    </w:p>
    <w:p>
      <w:pPr>
        <w:rPr>
          <w:rFonts w:hint="eastAsia" w:ascii="方正仿宋简体" w:hAnsi="方正仿宋简体" w:eastAsia="方正仿宋简体" w:cs="方正仿宋简体"/>
          <w:sz w:val="28"/>
          <w:szCs w:val="28"/>
          <w:lang w:eastAsia="zh-CN"/>
        </w:rPr>
      </w:pPr>
      <w:r>
        <w:rPr>
          <w:rFonts w:hint="eastAsia" w:ascii="方正仿宋简体" w:hAnsi="方正仿宋简体" w:eastAsia="方正仿宋简体" w:cs="方正仿宋简体"/>
          <w:sz w:val="28"/>
          <w:szCs w:val="28"/>
        </w:rPr>
        <w:t>发行版本：E                                    页    码：1/</w:t>
      </w:r>
      <w:r>
        <w:rPr>
          <w:rFonts w:hint="eastAsia" w:ascii="方正仿宋简体" w:hAnsi="方正仿宋简体" w:eastAsia="方正仿宋简体" w:cs="方正仿宋简体"/>
          <w:sz w:val="28"/>
          <w:szCs w:val="28"/>
          <w:lang w:val="en-US" w:eastAsia="zh-CN"/>
        </w:rPr>
        <w:t>3</w:t>
      </w:r>
    </w:p>
    <w:p>
      <w:pPr>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pict>
          <v:line id="_x0000_s1026" o:spid="_x0000_s1026" o:spt="20" style="position:absolute;left:0pt;margin-left:0.1pt;margin-top:7.55pt;height:0pt;width:408.75pt;z-index:251659264;mso-width-relative:page;mso-height-relative:page;" stroked="t" coordsize="21600,21600" o:gfxdata="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EU+mr0gAAAAYBAAAPAAAAAAAAAAEAIAAAACIAAABkcnMvZG93bnJldi54bWxQSwECFAAUAAAA&#10;CACHTuJALMZ8SfQBAAC9AwAADgAAAAAAAAABACAAAAAhAQAAZHJzL2Uyb0RvYy54bWxQSwUGAAAA&#10;AAYABgBZAQAAhwUAAAAA&#10;">
            <v:path arrowok="t"/>
            <v:fill focussize="0,0"/>
            <v:stroke weight="0.5pt" color="#000000" joinstyle="miter"/>
            <v:imagedata o:title=""/>
            <o:lock v:ext="edit"/>
          </v:line>
        </w:pic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1   主题内容和适用范围</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本规程规定了激光垂准仪的操作、使用和维护保养的内容和要求。</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本规程适用于院属资源勘查系工程测量技术专业实训操作岗位。</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2   HSE风险提示</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2.1可能发生仪器碰摔、操作人员被物体击伤等风险。</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3   内容及要求</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3.1  激光垂准仪的操作方法</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①可靠安装仪器：先将仪器三脚架架设在地面控制点的正上方，拧紧架腿紧固螺旋，将夹脚踩实。从仪器箱中取出激光垂准仪，安置在三脚架上，并迅速拧紧连接螺旋。</w:t>
      </w:r>
    </w:p>
    <w:p>
      <w:pPr>
        <w:pStyle w:val="5"/>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520" w:lineRule="exact"/>
        <w:ind w:left="0" w:leftChars="0" w:firstLine="0" w:firstLineChars="0"/>
        <w:jc w:val="both"/>
        <w:textAlignment w:val="auto"/>
        <w:rPr>
          <w:rFonts w:hint="eastAsia" w:ascii="方正仿宋简体" w:hAnsi="方正仿宋简体" w:eastAsia="方正仿宋简体" w:cs="方正仿宋简体"/>
          <w:kern w:val="2"/>
          <w:sz w:val="28"/>
          <w:szCs w:val="28"/>
        </w:rPr>
      </w:pPr>
      <w:r>
        <w:rPr>
          <w:rFonts w:hint="eastAsia" w:ascii="方正仿宋简体" w:hAnsi="方正仿宋简体" w:eastAsia="方正仿宋简体" w:cs="方正仿宋简体"/>
          <w:kern w:val="2"/>
          <w:sz w:val="28"/>
          <w:szCs w:val="28"/>
        </w:rPr>
        <w:t>②对中、整平仪器：移动三脚架的其中两条架腿，使激光垂准仪的下对点激光对准地面的控制点中心。调节三脚架的架腿长度使激光垂准仪的圆水准气泡居中，旋转激光垂准仪的角螺旋使长水准气泡在互相垂直的两个方向上都居中，此时对中、整平仪器结束。</w:t>
      </w:r>
    </w:p>
    <w:p>
      <w:pPr>
        <w:pStyle w:val="5"/>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520" w:lineRule="exact"/>
        <w:ind w:left="0" w:leftChars="0" w:firstLine="0" w:firstLineChars="0"/>
        <w:jc w:val="both"/>
        <w:textAlignment w:val="auto"/>
        <w:rPr>
          <w:rFonts w:hint="eastAsia" w:ascii="方正仿宋简体" w:hAnsi="方正仿宋简体" w:eastAsia="方正仿宋简体" w:cs="方正仿宋简体"/>
          <w:kern w:val="2"/>
          <w:sz w:val="28"/>
          <w:szCs w:val="28"/>
        </w:rPr>
      </w:pPr>
      <w:r>
        <w:rPr>
          <w:rFonts w:hint="eastAsia" w:ascii="方正仿宋简体" w:hAnsi="方正仿宋简体" w:eastAsia="方正仿宋简体" w:cs="方正仿宋简体"/>
          <w:kern w:val="2"/>
          <w:sz w:val="28"/>
          <w:szCs w:val="28"/>
        </w:rPr>
        <w:t>③液晶显示区</w:t>
      </w:r>
      <w:r>
        <w:rPr>
          <w:rFonts w:hint="eastAsia" w:ascii="方正仿宋简体" w:hAnsi="方正仿宋简体" w:eastAsia="方正仿宋简体" w:cs="方正仿宋简体"/>
          <w:kern w:val="2"/>
          <w:sz w:val="28"/>
          <w:szCs w:val="28"/>
          <w:lang w:eastAsia="zh-CN"/>
        </w:rPr>
        <w:t>：</w:t>
      </w:r>
      <w:bookmarkStart w:id="0" w:name="_GoBack"/>
      <w:bookmarkEnd w:id="0"/>
      <w:r>
        <w:rPr>
          <w:rFonts w:hint="eastAsia" w:ascii="方正仿宋简体" w:hAnsi="方正仿宋简体" w:eastAsia="方正仿宋简体" w:cs="方正仿宋简体"/>
          <w:kern w:val="2"/>
          <w:sz w:val="28"/>
          <w:szCs w:val="28"/>
        </w:rPr>
        <w:t>投点：打开仪器上激光开关，使激光垂准仪发射出一条垂直向上的激光束，在仪器上方的某一个位置（建筑物的某以楼层）安置激光接受板，移动接收板使激光点打在正中心位置，调节激光点的大小师德激光点尽量能最小且能看清楚。旋转激光垂准仪的照准部，观察激光点投点位置是否有变化，如果没有变化则激光点投射的位置于地面控制点的中心位置在一条铅垂线上。如果有变化（划圆形图案）则圆心位置于地面控制点的中心位置在一条铅垂线上。</w:t>
      </w:r>
    </w:p>
    <w:p>
      <w:pPr>
        <w:pStyle w:val="5"/>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520" w:lineRule="exact"/>
        <w:ind w:left="0" w:leftChars="0" w:firstLine="0" w:firstLineChars="0"/>
        <w:jc w:val="both"/>
        <w:textAlignment w:val="auto"/>
        <w:rPr>
          <w:rFonts w:hint="eastAsia" w:ascii="方正仿宋简体" w:hAnsi="方正仿宋简体" w:eastAsia="方正仿宋简体" w:cs="方正仿宋简体"/>
          <w:kern w:val="2"/>
          <w:sz w:val="28"/>
          <w:szCs w:val="28"/>
        </w:rPr>
      </w:pPr>
      <w:r>
        <w:rPr>
          <w:rFonts w:hint="eastAsia" w:ascii="方正仿宋简体" w:hAnsi="方正仿宋简体" w:eastAsia="方正仿宋简体" w:cs="方正仿宋简体"/>
          <w:kern w:val="2"/>
          <w:sz w:val="28"/>
          <w:szCs w:val="28"/>
        </w:rPr>
        <w:t>3.2操作要求</w:t>
      </w:r>
    </w:p>
    <w:p>
      <w:pPr>
        <w:pStyle w:val="5"/>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520" w:lineRule="exact"/>
        <w:ind w:left="0" w:leftChars="0" w:firstLine="0" w:firstLineChars="0"/>
        <w:jc w:val="both"/>
        <w:textAlignment w:val="auto"/>
        <w:rPr>
          <w:rFonts w:hint="eastAsia" w:ascii="方正仿宋简体" w:hAnsi="方正仿宋简体" w:eastAsia="方正仿宋简体" w:cs="方正仿宋简体"/>
          <w:kern w:val="2"/>
          <w:sz w:val="28"/>
          <w:szCs w:val="28"/>
        </w:rPr>
      </w:pPr>
      <w:r>
        <w:rPr>
          <w:rFonts w:hint="eastAsia" w:ascii="方正仿宋简体" w:hAnsi="方正仿宋简体" w:eastAsia="方正仿宋简体" w:cs="方正仿宋简体"/>
          <w:kern w:val="2"/>
          <w:sz w:val="28"/>
          <w:szCs w:val="28"/>
        </w:rPr>
        <w:t>①准备工作：检查仪器电源是否充足，附件是否齐全。投测之前应先研究现场情况。现场是否安全，是否适合做激光点投测工作。</w:t>
      </w:r>
    </w:p>
    <w:p>
      <w:pPr>
        <w:pStyle w:val="5"/>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520" w:lineRule="exact"/>
        <w:ind w:left="0" w:leftChars="0" w:firstLine="0" w:firstLineChars="0"/>
        <w:jc w:val="both"/>
        <w:textAlignment w:val="auto"/>
        <w:rPr>
          <w:rFonts w:hint="eastAsia" w:ascii="方正仿宋简体" w:hAnsi="方正仿宋简体" w:eastAsia="方正仿宋简体" w:cs="方正仿宋简体"/>
          <w:kern w:val="2"/>
          <w:sz w:val="28"/>
          <w:szCs w:val="28"/>
        </w:rPr>
      </w:pPr>
      <w:r>
        <w:rPr>
          <w:rFonts w:hint="eastAsia" w:ascii="方正仿宋简体" w:hAnsi="方正仿宋简体" w:eastAsia="方正仿宋简体" w:cs="方正仿宋简体"/>
          <w:kern w:val="2"/>
          <w:sz w:val="28"/>
          <w:szCs w:val="28"/>
        </w:rPr>
        <w:t>②激光垂准仪操作：</w:t>
      </w:r>
    </w:p>
    <w:p>
      <w:pPr>
        <w:pStyle w:val="5"/>
        <w:keepNext w:val="0"/>
        <w:keepLines w:val="0"/>
        <w:pageBreakBefore w:val="0"/>
        <w:widowControl w:val="0"/>
        <w:numPr>
          <w:ilvl w:val="0"/>
          <w:numId w:val="1"/>
        </w:numPr>
        <w:shd w:val="clear" w:color="auto" w:fill="FFFFFF"/>
        <w:kinsoku/>
        <w:wordWrap/>
        <w:overflowPunct/>
        <w:topLinePunct w:val="0"/>
        <w:autoSpaceDE/>
        <w:autoSpaceDN/>
        <w:bidi w:val="0"/>
        <w:adjustRightInd w:val="0"/>
        <w:snapToGrid w:val="0"/>
        <w:spacing w:beforeAutospacing="0" w:afterAutospacing="0" w:line="520" w:lineRule="exact"/>
        <w:ind w:left="0" w:leftChars="0" w:firstLine="0" w:firstLineChars="0"/>
        <w:jc w:val="both"/>
        <w:textAlignment w:val="auto"/>
        <w:rPr>
          <w:rFonts w:hint="eastAsia" w:ascii="方正仿宋简体" w:hAnsi="方正仿宋简体" w:eastAsia="方正仿宋简体" w:cs="方正仿宋简体"/>
          <w:kern w:val="2"/>
          <w:sz w:val="28"/>
          <w:szCs w:val="28"/>
        </w:rPr>
      </w:pPr>
      <w:r>
        <w:rPr>
          <w:rFonts w:hint="eastAsia" w:ascii="方正仿宋简体" w:hAnsi="方正仿宋简体" w:eastAsia="方正仿宋简体" w:cs="方正仿宋简体"/>
          <w:kern w:val="2"/>
          <w:sz w:val="28"/>
          <w:szCs w:val="28"/>
        </w:rPr>
        <w:t>按开关键开机，激光垂准仪打出一束激光。</w:t>
      </w:r>
    </w:p>
    <w:p>
      <w:pPr>
        <w:pStyle w:val="5"/>
        <w:keepNext w:val="0"/>
        <w:keepLines w:val="0"/>
        <w:pageBreakBefore w:val="0"/>
        <w:widowControl w:val="0"/>
        <w:numPr>
          <w:ilvl w:val="0"/>
          <w:numId w:val="1"/>
        </w:numPr>
        <w:shd w:val="clear" w:color="auto" w:fill="FFFFFF"/>
        <w:kinsoku/>
        <w:wordWrap/>
        <w:overflowPunct/>
        <w:topLinePunct w:val="0"/>
        <w:autoSpaceDE/>
        <w:autoSpaceDN/>
        <w:bidi w:val="0"/>
        <w:adjustRightInd w:val="0"/>
        <w:snapToGrid w:val="0"/>
        <w:spacing w:beforeAutospacing="0" w:afterAutospacing="0" w:line="520" w:lineRule="exact"/>
        <w:ind w:left="0" w:leftChars="0" w:firstLine="0" w:firstLineChars="0"/>
        <w:jc w:val="both"/>
        <w:textAlignment w:val="auto"/>
        <w:rPr>
          <w:rFonts w:hint="eastAsia" w:ascii="方正仿宋简体" w:hAnsi="方正仿宋简体" w:eastAsia="方正仿宋简体" w:cs="方正仿宋简体"/>
          <w:kern w:val="2"/>
          <w:sz w:val="28"/>
          <w:szCs w:val="28"/>
        </w:rPr>
      </w:pPr>
      <w:r>
        <w:rPr>
          <w:rFonts w:hint="eastAsia" w:ascii="方正仿宋简体" w:hAnsi="方正仿宋简体" w:eastAsia="方正仿宋简体" w:cs="方正仿宋简体"/>
          <w:kern w:val="2"/>
          <w:sz w:val="28"/>
          <w:szCs w:val="28"/>
        </w:rPr>
        <w:t>平稳旋转激光垂准仪的照准部，看清激光点的转动轨迹。</w:t>
      </w:r>
    </w:p>
    <w:p>
      <w:pPr>
        <w:pStyle w:val="5"/>
        <w:keepNext w:val="0"/>
        <w:keepLines w:val="0"/>
        <w:pageBreakBefore w:val="0"/>
        <w:widowControl w:val="0"/>
        <w:numPr>
          <w:ilvl w:val="0"/>
          <w:numId w:val="1"/>
        </w:numPr>
        <w:shd w:val="clear" w:color="auto" w:fill="FFFFFF"/>
        <w:kinsoku/>
        <w:wordWrap/>
        <w:overflowPunct/>
        <w:topLinePunct w:val="0"/>
        <w:autoSpaceDE/>
        <w:autoSpaceDN/>
        <w:bidi w:val="0"/>
        <w:adjustRightInd w:val="0"/>
        <w:snapToGrid w:val="0"/>
        <w:spacing w:beforeAutospacing="0" w:afterAutospacing="0" w:line="520" w:lineRule="exact"/>
        <w:ind w:left="0" w:leftChars="0" w:firstLine="0" w:firstLineChars="0"/>
        <w:jc w:val="both"/>
        <w:textAlignment w:val="auto"/>
        <w:rPr>
          <w:rFonts w:hint="eastAsia" w:ascii="方正仿宋简体" w:hAnsi="方正仿宋简体" w:eastAsia="方正仿宋简体" w:cs="方正仿宋简体"/>
          <w:kern w:val="2"/>
          <w:sz w:val="28"/>
          <w:szCs w:val="28"/>
        </w:rPr>
      </w:pPr>
      <w:r>
        <w:rPr>
          <w:rFonts w:hint="eastAsia" w:ascii="方正仿宋简体" w:hAnsi="方正仿宋简体" w:eastAsia="方正仿宋简体" w:cs="方正仿宋简体"/>
          <w:kern w:val="2"/>
          <w:sz w:val="28"/>
          <w:szCs w:val="28"/>
        </w:rPr>
        <w:t>调节激光束的大小，使激光点尽量小且能显示最清楚。</w:t>
      </w:r>
    </w:p>
    <w:p>
      <w:pPr>
        <w:pStyle w:val="5"/>
        <w:keepNext w:val="0"/>
        <w:keepLines w:val="0"/>
        <w:pageBreakBefore w:val="0"/>
        <w:widowControl w:val="0"/>
        <w:numPr>
          <w:numId w:val="0"/>
        </w:numPr>
        <w:shd w:val="clear" w:color="auto" w:fill="FFFFFF"/>
        <w:kinsoku/>
        <w:wordWrap/>
        <w:overflowPunct/>
        <w:topLinePunct w:val="0"/>
        <w:autoSpaceDE/>
        <w:autoSpaceDN/>
        <w:bidi w:val="0"/>
        <w:adjustRightInd w:val="0"/>
        <w:snapToGrid w:val="0"/>
        <w:spacing w:beforeAutospacing="0" w:afterAutospacing="0" w:line="520" w:lineRule="exact"/>
        <w:ind w:leftChars="0"/>
        <w:jc w:val="both"/>
        <w:textAlignment w:val="auto"/>
        <w:rPr>
          <w:rFonts w:hint="eastAsia" w:ascii="方正仿宋简体" w:hAnsi="方正仿宋简体" w:eastAsia="方正仿宋简体" w:cs="方正仿宋简体"/>
          <w:kern w:val="2"/>
          <w:sz w:val="28"/>
          <w:szCs w:val="28"/>
        </w:rPr>
      </w:pPr>
      <w:r>
        <w:rPr>
          <w:rFonts w:hint="eastAsia" w:ascii="方正仿宋简体" w:hAnsi="方正仿宋简体" w:eastAsia="方正仿宋简体" w:cs="方正仿宋简体"/>
          <w:kern w:val="2"/>
          <w:sz w:val="28"/>
          <w:szCs w:val="28"/>
        </w:rPr>
        <w:t>（4）操作完成按开关键关机，迅速将仪器从三脚架上卸下并妥善按原来的位置装回仪器箱。</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4   其他要求</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①不要在潮湿环境或直接在雨中使用激光垂准仪。</w:t>
      </w:r>
      <w:r>
        <w:rPr>
          <w:rFonts w:hint="eastAsia" w:ascii="方正仿宋简体" w:hAnsi="方正仿宋简体" w:eastAsia="方正仿宋简体" w:cs="方正仿宋简体"/>
          <w:sz w:val="28"/>
          <w:szCs w:val="28"/>
        </w:rPr>
        <w:br w:type="textWrapping"/>
      </w:r>
      <w:r>
        <w:rPr>
          <w:rFonts w:hint="eastAsia" w:ascii="方正仿宋简体" w:hAnsi="方正仿宋简体" w:eastAsia="方正仿宋简体" w:cs="方正仿宋简体"/>
          <w:sz w:val="28"/>
          <w:szCs w:val="28"/>
        </w:rPr>
        <w:t>②工作区域安全事项：</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(1)保证工作区域整洁并照明条件良好。</w:t>
      </w:r>
      <w:r>
        <w:rPr>
          <w:rFonts w:hint="eastAsia" w:ascii="方正仿宋简体" w:hAnsi="方正仿宋简体" w:eastAsia="方正仿宋简体" w:cs="方正仿宋简体"/>
          <w:sz w:val="28"/>
          <w:szCs w:val="28"/>
        </w:rPr>
        <w:br w:type="textWrapping"/>
      </w:r>
      <w:r>
        <w:rPr>
          <w:rFonts w:hint="eastAsia" w:ascii="方正仿宋简体" w:hAnsi="方正仿宋简体" w:eastAsia="方正仿宋简体" w:cs="方正仿宋简体"/>
          <w:sz w:val="28"/>
          <w:szCs w:val="28"/>
        </w:rPr>
        <w:t>(2)禁止在易燃、易爆或有大量灰尘的环境下使用电子设备。</w:t>
      </w:r>
      <w:r>
        <w:rPr>
          <w:rFonts w:hint="eastAsia" w:ascii="方正仿宋简体" w:hAnsi="方正仿宋简体" w:eastAsia="方正仿宋简体" w:cs="方正仿宋简体"/>
          <w:sz w:val="28"/>
          <w:szCs w:val="28"/>
        </w:rPr>
        <w:br w:type="textWrapping"/>
      </w:r>
      <w:r>
        <w:rPr>
          <w:rFonts w:hint="eastAsia" w:ascii="方正仿宋简体" w:hAnsi="方正仿宋简体" w:eastAsia="方正仿宋简体" w:cs="方正仿宋简体"/>
          <w:sz w:val="28"/>
          <w:szCs w:val="28"/>
        </w:rPr>
        <w:t>(3)旁观者离开仪器和三脚架。</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③电池使用注意事项</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（1）按照说明书要求使用相同型式和尺寸的电池，不要混合使用不同类型的电池(比如：不要混合一起使用碱性电池和可充电电池)。</w:t>
      </w:r>
      <w:r>
        <w:rPr>
          <w:rFonts w:hint="eastAsia" w:ascii="方正仿宋简体" w:hAnsi="方正仿宋简体" w:eastAsia="方正仿宋简体" w:cs="方正仿宋简体"/>
          <w:sz w:val="28"/>
          <w:szCs w:val="28"/>
        </w:rPr>
        <w:br w:type="textWrapping"/>
      </w:r>
      <w:r>
        <w:rPr>
          <w:rFonts w:hint="eastAsia" w:ascii="方正仿宋简体" w:hAnsi="方正仿宋简体" w:eastAsia="方正仿宋简体" w:cs="方正仿宋简体"/>
          <w:sz w:val="28"/>
          <w:szCs w:val="28"/>
        </w:rPr>
        <w:t xml:space="preserve"> (2)当使用可充电电池，请选用电池生产商的充电器。</w:t>
      </w:r>
      <w:r>
        <w:rPr>
          <w:rFonts w:hint="eastAsia" w:ascii="方正仿宋简体" w:hAnsi="方正仿宋简体" w:eastAsia="方正仿宋简体" w:cs="方正仿宋简体"/>
          <w:sz w:val="28"/>
          <w:szCs w:val="28"/>
        </w:rPr>
        <w:br w:type="textWrapping"/>
      </w:r>
      <w:r>
        <w:rPr>
          <w:rFonts w:hint="eastAsia" w:ascii="方正仿宋简体" w:hAnsi="方正仿宋简体" w:eastAsia="方正仿宋简体" w:cs="方正仿宋简体"/>
          <w:sz w:val="28"/>
          <w:szCs w:val="28"/>
        </w:rPr>
        <w:t xml:space="preserve"> (3)正确处理和保存电池。不要将电池暴露在高温和靠近火源的地方。同时，遵守当地法规处理废弃电池。</w:t>
      </w:r>
      <w:r>
        <w:rPr>
          <w:rFonts w:hint="eastAsia" w:ascii="方正仿宋简体" w:hAnsi="方正仿宋简体" w:eastAsia="方正仿宋简体" w:cs="方正仿宋简体"/>
          <w:sz w:val="28"/>
          <w:szCs w:val="28"/>
        </w:rPr>
        <w:br w:type="textWrapping"/>
      </w:r>
      <w:r>
        <w:rPr>
          <w:rFonts w:hint="eastAsia" w:ascii="方正仿宋简体" w:hAnsi="方正仿宋简体" w:eastAsia="方正仿宋简体" w:cs="方正仿宋简体"/>
          <w:sz w:val="28"/>
          <w:szCs w:val="28"/>
        </w:rPr>
        <w:t xml:space="preserve">    ⑤个人安全注意事项</w:t>
      </w:r>
      <w:r>
        <w:rPr>
          <w:rFonts w:hint="eastAsia" w:ascii="方正仿宋简体" w:hAnsi="方正仿宋简体" w:eastAsia="方正仿宋简体" w:cs="方正仿宋简体"/>
          <w:sz w:val="28"/>
          <w:szCs w:val="28"/>
        </w:rPr>
        <w:br w:type="textWrapping"/>
      </w:r>
      <w:r>
        <w:rPr>
          <w:rFonts w:hint="eastAsia" w:ascii="方正仿宋简体" w:hAnsi="方正仿宋简体" w:eastAsia="方正仿宋简体" w:cs="方正仿宋简体"/>
          <w:sz w:val="28"/>
          <w:szCs w:val="28"/>
        </w:rPr>
        <w:t>(1)请集中注意力，专注于自己的工作。</w:t>
      </w:r>
      <w:r>
        <w:rPr>
          <w:rFonts w:hint="eastAsia" w:ascii="方正仿宋简体" w:hAnsi="方正仿宋简体" w:eastAsia="方正仿宋简体" w:cs="方正仿宋简体"/>
          <w:sz w:val="28"/>
          <w:szCs w:val="28"/>
        </w:rPr>
        <w:br w:type="textWrapping"/>
      </w:r>
      <w:r>
        <w:rPr>
          <w:rFonts w:hint="eastAsia" w:ascii="方正仿宋简体" w:hAnsi="方正仿宋简体" w:eastAsia="方正仿宋简体" w:cs="方正仿宋简体"/>
          <w:sz w:val="28"/>
          <w:szCs w:val="28"/>
        </w:rPr>
        <w:t>(2)使用个人安全防护设备，包括头盔、工鞋和手套。</w:t>
      </w:r>
      <w:r>
        <w:rPr>
          <w:rFonts w:hint="eastAsia" w:ascii="方正仿宋简体" w:hAnsi="方正仿宋简体" w:eastAsia="方正仿宋简体" w:cs="方正仿宋简体"/>
          <w:sz w:val="28"/>
          <w:szCs w:val="28"/>
        </w:rPr>
        <w:br w:type="textWrapping"/>
      </w:r>
      <w:r>
        <w:rPr>
          <w:rFonts w:hint="eastAsia" w:ascii="方正仿宋简体" w:hAnsi="方正仿宋简体" w:eastAsia="方正仿宋简体" w:cs="方正仿宋简体"/>
          <w:sz w:val="28"/>
          <w:szCs w:val="28"/>
        </w:rPr>
        <w:t>(3)保持正确的姿势和注意身体平衡。</w:t>
      </w:r>
      <w:r>
        <w:rPr>
          <w:rFonts w:hint="eastAsia" w:ascii="方正仿宋简体" w:hAnsi="方正仿宋简体" w:eastAsia="方正仿宋简体" w:cs="方正仿宋简体"/>
          <w:sz w:val="28"/>
          <w:szCs w:val="28"/>
        </w:rPr>
        <w:br w:type="textWrapping"/>
      </w:r>
      <w:r>
        <w:rPr>
          <w:rFonts w:hint="eastAsia" w:ascii="方正仿宋简体" w:hAnsi="方正仿宋简体" w:eastAsia="方正仿宋简体" w:cs="方正仿宋简体"/>
          <w:sz w:val="28"/>
          <w:szCs w:val="28"/>
        </w:rPr>
        <w:t>(4)避免空中坠物出现事故。当在楼宇中操作设备时要保持高度警惕，注意楼上人员向下丢弃建筑材料等物品。</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⑥激光垂准仪以下情况需要进行维修服务：</w:t>
      </w:r>
    </w:p>
    <w:p>
      <w:pPr>
        <w:keepNext w:val="0"/>
        <w:keepLines w:val="0"/>
        <w:pageBreakBefore w:val="0"/>
        <w:widowControl w:val="0"/>
        <w:numPr>
          <w:ilvl w:val="0"/>
          <w:numId w:val="2"/>
        </w:numPr>
        <w:kinsoku/>
        <w:wordWrap/>
        <w:overflowPunct/>
        <w:topLinePunct w:val="0"/>
        <w:autoSpaceDE/>
        <w:autoSpaceDN/>
        <w:bidi w:val="0"/>
        <w:adjustRightInd w:val="0"/>
        <w:snapToGrid w:val="0"/>
        <w:spacing w:line="520" w:lineRule="exact"/>
        <w:ind w:left="0" w:leftChars="0" w:firstLine="0" w:firstLine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如果有液体溅入设备或有异物进入设备中；</w:t>
      </w:r>
      <w:r>
        <w:rPr>
          <w:rFonts w:hint="eastAsia" w:ascii="方正仿宋简体" w:hAnsi="方正仿宋简体" w:eastAsia="方正仿宋简体" w:cs="方正仿宋简体"/>
          <w:sz w:val="28"/>
          <w:szCs w:val="28"/>
        </w:rPr>
        <w:br w:type="textWrapping"/>
      </w:r>
      <w:r>
        <w:rPr>
          <w:rFonts w:hint="eastAsia" w:ascii="方正仿宋简体" w:hAnsi="方正仿宋简体" w:eastAsia="方正仿宋简体" w:cs="方正仿宋简体"/>
          <w:sz w:val="28"/>
          <w:szCs w:val="28"/>
        </w:rPr>
        <w:t>（2）按照操作程序无法正常操作设备；</w:t>
      </w:r>
    </w:p>
    <w:p>
      <w:pPr>
        <w:keepNext w:val="0"/>
        <w:keepLines w:val="0"/>
        <w:pageBreakBefore w:val="0"/>
        <w:widowControl w:val="0"/>
        <w:numPr>
          <w:numId w:val="0"/>
        </w:numPr>
        <w:kinsoku/>
        <w:wordWrap/>
        <w:overflowPunct/>
        <w:topLinePunct w:val="0"/>
        <w:autoSpaceDE/>
        <w:autoSpaceDN/>
        <w:bidi w:val="0"/>
        <w:adjustRightInd w:val="0"/>
        <w:snapToGrid w:val="0"/>
        <w:spacing w:line="520" w:lineRule="exact"/>
        <w:ind w:leftChars="0"/>
        <w:jc w:val="both"/>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（3）如果设备坠落或其它任何情况下损坏了该设备；如果设备性能有了非常明显的改变。</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firstLine="0" w:firstLineChars="0"/>
        <w:jc w:val="both"/>
        <w:textAlignment w:val="auto"/>
        <w:rPr>
          <w:rFonts w:hint="eastAsia" w:ascii="方正仿宋简体" w:hAnsi="方正仿宋简体" w:eastAsia="方正仿宋简体" w:cs="方正仿宋简体"/>
          <w:sz w:val="28"/>
          <w:szCs w:val="28"/>
        </w:rPr>
      </w:pPr>
    </w:p>
    <w:p>
      <w:pPr>
        <w:keepNext w:val="0"/>
        <w:keepLines w:val="0"/>
        <w:pageBreakBefore w:val="0"/>
        <w:widowControl w:val="0"/>
        <w:kinsoku/>
        <w:wordWrap/>
        <w:overflowPunct/>
        <w:topLinePunct w:val="0"/>
        <w:autoSpaceDE/>
        <w:autoSpaceDN/>
        <w:bidi w:val="0"/>
        <w:adjustRightInd w:val="0"/>
        <w:snapToGrid w:val="0"/>
        <w:spacing w:line="520" w:lineRule="exact"/>
        <w:ind w:left="0" w:leftChars="0" w:firstLine="0" w:firstLineChars="0"/>
        <w:jc w:val="both"/>
        <w:textAlignment w:val="auto"/>
        <w:rPr>
          <w:rFonts w:hint="eastAsia" w:ascii="方正仿宋简体" w:hAnsi="方正仿宋简体" w:eastAsia="方正仿宋简体" w:cs="方正仿宋简体"/>
          <w:sz w:val="28"/>
          <w:szCs w:val="28"/>
        </w:rPr>
      </w:pPr>
    </w:p>
    <w:p>
      <w:pPr>
        <w:rPr>
          <w:rFonts w:hint="eastAsia" w:ascii="方正仿宋简体" w:hAnsi="方正仿宋简体" w:eastAsia="方正仿宋简体" w:cs="方正仿宋简体"/>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隶变简体">
    <w:panose1 w:val="03000509000000000000"/>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t>发布日期：</w:t>
    </w:r>
    <w:r>
      <w:rPr>
        <w:rFonts w:hint="eastAsia"/>
      </w:rPr>
      <w:t>2022年8月31日</w:t>
    </w:r>
  </w:p>
  <w:p>
    <w:pPr>
      <w:pStyle w:val="3"/>
      <w:jc w:val="right"/>
    </w:pPr>
    <w:r>
      <w:t>实施日期：</w:t>
    </w:r>
    <w:r>
      <w:rPr>
        <w:rFonts w:hint="eastAsia"/>
      </w:rPr>
      <w:t>2022年8月31日</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467C6E"/>
    <w:multiLevelType w:val="singleLevel"/>
    <w:tmpl w:val="A6467C6E"/>
    <w:lvl w:ilvl="0" w:tentative="0">
      <w:start w:val="1"/>
      <w:numFmt w:val="decimal"/>
      <w:suff w:val="nothing"/>
      <w:lvlText w:val="（%1）"/>
      <w:lvlJc w:val="left"/>
    </w:lvl>
  </w:abstractNum>
  <w:abstractNum w:abstractNumId="1">
    <w:nsid w:val="B880B0B4"/>
    <w:multiLevelType w:val="singleLevel"/>
    <w:tmpl w:val="B880B0B4"/>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WYzOWNiODFmOGIxMTg4MWQyNTZlMmYwNGU3ZDFmNTQifQ=="/>
  </w:docVars>
  <w:rsids>
    <w:rsidRoot w:val="3C2B6175"/>
    <w:rsid w:val="002E299B"/>
    <w:rsid w:val="00D35DA8"/>
    <w:rsid w:val="00E15FA1"/>
    <w:rsid w:val="18B95E27"/>
    <w:rsid w:val="25EA625C"/>
    <w:rsid w:val="338C6784"/>
    <w:rsid w:val="36A02CA0"/>
    <w:rsid w:val="3C2B6175"/>
    <w:rsid w:val="429F50E7"/>
    <w:rsid w:val="43917F95"/>
    <w:rsid w:val="621A356C"/>
    <w:rsid w:val="7CA17C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uiPriority w:val="0"/>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0"/>
    <w:pPr>
      <w:spacing w:beforeAutospacing="1" w:afterAutospacing="1"/>
      <w:jc w:val="left"/>
    </w:pPr>
    <w:rPr>
      <w:rFonts w:cs="Times New Roman"/>
      <w:kern w:val="0"/>
      <w:sz w:val="24"/>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0"/>
    <w:rPr>
      <w:b/>
    </w:rPr>
  </w:style>
  <w:style w:type="character" w:customStyle="1" w:styleId="10">
    <w:name w:val="页眉 Char"/>
    <w:basedOn w:val="8"/>
    <w:link w:val="4"/>
    <w:qFormat/>
    <w:uiPriority w:val="0"/>
    <w:rPr>
      <w:rFonts w:asciiTheme="minorHAnsi" w:hAnsiTheme="minorHAnsi" w:eastAsiaTheme="minorEastAsia" w:cstheme="minorBidi"/>
      <w:kern w:val="2"/>
      <w:sz w:val="18"/>
      <w:szCs w:val="18"/>
    </w:rPr>
  </w:style>
  <w:style w:type="character" w:customStyle="1" w:styleId="11">
    <w:name w:val="页脚 Char"/>
    <w:basedOn w:val="8"/>
    <w:link w:val="3"/>
    <w:uiPriority w:val="99"/>
    <w:rPr>
      <w:rFonts w:asciiTheme="minorHAnsi" w:hAnsiTheme="minorHAnsi" w:eastAsiaTheme="minorEastAsia" w:cstheme="minorBidi"/>
      <w:kern w:val="2"/>
      <w:sz w:val="18"/>
      <w:szCs w:val="18"/>
    </w:rPr>
  </w:style>
  <w:style w:type="character" w:customStyle="1" w:styleId="12">
    <w:name w:val="批注框文本 Char"/>
    <w:basedOn w:val="8"/>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1174</Words>
  <Characters>1219</Characters>
  <Lines>9</Lines>
  <Paragraphs>2</Paragraphs>
  <TotalTime>20</TotalTime>
  <ScaleCrop>false</ScaleCrop>
  <LinksUpToDate>false</LinksUpToDate>
  <CharactersWithSpaces>1297</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2022-04-06T02:43:00Z</dcterms:created>
  <dc:creator>DELL</dc:creator>
  <cp:lastModifiedBy>11441</cp:lastModifiedBy>
  <dcterms:modified xsi:type="dcterms:W3CDTF">2022-09-02T02:38:36Z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E1F4097D2678488E9DF5384E913BF5C8</vt:lpwstr>
  </property>
</Properties>
</file>