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B980FB">
      <w:pPr>
        <w:jc w:val="center"/>
        <w:rPr>
          <w:rFonts w:ascii="宋体" w:hAnsi="宋体" w:eastAsia="宋体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Times New Roman"/>
          <w:color w:val="CC3300"/>
          <w:w w:val="80"/>
          <w:sz w:val="72"/>
          <w:szCs w:val="72"/>
        </w:rPr>
        <w:t>天津石油职业技术学院操作规程</w:t>
      </w:r>
    </w:p>
    <w:p w14:paraId="06896C36">
      <w:pPr>
        <w:adjustRightInd w:val="0"/>
        <w:snapToGrid w:val="0"/>
        <w:spacing w:line="440" w:lineRule="exact"/>
        <w:jc w:val="center"/>
        <w:rPr>
          <w:rFonts w:ascii="宋体" w:hAnsi="宋体" w:eastAsia="宋体" w:cs="黑体"/>
          <w:bCs/>
          <w:snapToGrid w:val="0"/>
          <w:color w:val="000000"/>
          <w:spacing w:val="-2"/>
          <w:kern w:val="0"/>
          <w:sz w:val="32"/>
          <w:szCs w:val="32"/>
        </w:rPr>
      </w:pPr>
      <w:r>
        <w:rPr>
          <w:rFonts w:hint="eastAsia" w:ascii="宋体" w:hAnsi="宋体" w:eastAsia="宋体" w:cs="黑体"/>
          <w:bCs/>
          <w:snapToGrid w:val="0"/>
          <w:color w:val="000000"/>
          <w:spacing w:val="-2"/>
          <w:kern w:val="0"/>
          <w:sz w:val="32"/>
          <w:szCs w:val="32"/>
        </w:rPr>
        <w:t>普通铣床操作规程</w:t>
      </w:r>
    </w:p>
    <w:p w14:paraId="45D36860">
      <w:pPr>
        <w:adjustRightInd w:val="0"/>
        <w:snapToGrid w:val="0"/>
        <w:spacing w:line="440" w:lineRule="exact"/>
        <w:jc w:val="center"/>
        <w:rPr>
          <w:rFonts w:ascii="宋体" w:hAnsi="宋体" w:eastAsia="宋体" w:cs="方正仿宋简体"/>
          <w:color w:val="000000"/>
          <w:sz w:val="32"/>
          <w:szCs w:val="32"/>
        </w:rPr>
      </w:pPr>
    </w:p>
    <w:p w14:paraId="21528CC0">
      <w:pPr>
        <w:adjustRightInd w:val="0"/>
        <w:snapToGrid w:val="0"/>
        <w:spacing w:line="440" w:lineRule="exact"/>
        <w:rPr>
          <w:rFonts w:ascii="宋体" w:hAnsi="宋体" w:eastAsia="宋体" w:cs="方正仿宋简体"/>
          <w:color w:val="000000"/>
          <w:sz w:val="28"/>
          <w:szCs w:val="28"/>
        </w:rPr>
      </w:pPr>
      <w:r>
        <w:rPr>
          <w:rFonts w:hint="eastAsia" w:ascii="宋体" w:hAnsi="宋体" w:eastAsia="宋体" w:cs="方正仿宋简体"/>
          <w:color w:val="000000"/>
          <w:sz w:val="28"/>
          <w:szCs w:val="28"/>
        </w:rPr>
        <w:t>文件编码：</w:t>
      </w:r>
      <w:r>
        <w:rPr>
          <w:rFonts w:ascii="宋体" w:hAnsi="宋体" w:eastAsia="宋体" w:cs="方正仿宋简体"/>
          <w:color w:val="000000"/>
          <w:sz w:val="28"/>
          <w:szCs w:val="28"/>
        </w:rPr>
        <w:t>GC/HBYT 3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>9</w:t>
      </w:r>
      <w:r>
        <w:rPr>
          <w:rFonts w:ascii="宋体" w:hAnsi="宋体" w:eastAsia="宋体" w:cs="方正仿宋简体"/>
          <w:color w:val="000000"/>
          <w:sz w:val="28"/>
          <w:szCs w:val="28"/>
        </w:rPr>
        <w:t>-0609-</w:t>
      </w:r>
      <w:r>
        <w:rPr>
          <w:rFonts w:hint="eastAsia" w:ascii="宋体" w:hAnsi="宋体" w:eastAsia="宋体" w:cs="方正仿宋简体"/>
          <w:color w:val="000000"/>
          <w:sz w:val="28"/>
          <w:szCs w:val="28"/>
          <w:lang w:eastAsia="zh-CN"/>
        </w:rPr>
        <w:t>202</w:t>
      </w:r>
      <w:r>
        <w:rPr>
          <w:rFonts w:hint="eastAsia" w:ascii="宋体" w:hAnsi="宋体" w:eastAsia="宋体" w:cs="方正仿宋简体"/>
          <w:color w:val="00000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 xml:space="preserve">                 修订次数：1</w:t>
      </w:r>
    </w:p>
    <w:p w14:paraId="598D68F6">
      <w:pPr>
        <w:adjustRightInd w:val="0"/>
        <w:snapToGrid w:val="0"/>
        <w:spacing w:line="440" w:lineRule="exact"/>
        <w:jc w:val="left"/>
        <w:rPr>
          <w:rFonts w:ascii="宋体" w:hAnsi="宋体" w:eastAsia="宋体" w:cs="方正仿宋简体"/>
          <w:color w:val="000000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发行版本：E 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 xml:space="preserve">                                    页    码：</w:t>
      </w:r>
      <w:r>
        <w:rPr>
          <w:rFonts w:hint="eastAsia" w:ascii="宋体" w:hAnsi="宋体" w:eastAsia="宋体" w:cs="Times New Roman"/>
          <w:sz w:val="28"/>
          <w:szCs w:val="28"/>
        </w:rPr>
        <w:t>1/</w:t>
      </w:r>
      <w:r>
        <w:rPr>
          <w:rFonts w:ascii="宋体" w:hAnsi="宋体" w:eastAsia="宋体" w:cs="Times New Roman"/>
          <w:sz w:val="28"/>
          <w:szCs w:val="28"/>
        </w:rPr>
        <w:t>5</w:t>
      </w:r>
    </w:p>
    <w:p w14:paraId="7341E52C">
      <w:pPr>
        <w:spacing w:line="520" w:lineRule="exact"/>
        <w:ind w:right="1375" w:rightChars="655"/>
        <w:rPr>
          <w:rFonts w:ascii="宋体" w:hAnsi="宋体" w:eastAsia="宋体" w:cs="方正仿宋简体"/>
          <w:bCs/>
          <w:color w:val="000000"/>
          <w:sz w:val="32"/>
          <w:szCs w:val="32"/>
        </w:rPr>
      </w:pPr>
      <w:r>
        <w:rPr>
          <w:rFonts w:ascii="宋体" w:hAnsi="宋体" w:eastAsia="宋体" w:cs="方正仿宋简体"/>
          <w:bCs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138430</wp:posOffset>
                </wp:positionV>
                <wp:extent cx="5486400" cy="0"/>
                <wp:effectExtent l="0" t="4445" r="0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-5.25pt;margin-top:10.9pt;height:0pt;width:432pt;z-index:251659264;mso-width-relative:page;mso-height-relative:page;" filled="f" stroked="t" coordsize="21600,21600" o:gfxdata="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NIlNzXAAAACQEAAA8AAAAAAAAAAQAgAAAAIgAAAGRycy9kb3du&#10;cmV2LnhtbFBLAQIUABQAAAAIAIdO4kDhzq8eAAIAAPgDAAAOAAAAAAAAAAEAIAAAACYBAABkcnMv&#10;ZTJvRG9jLnhtbFBLBQYAAAAABgAGAFkBAACYBQAAAAA=&#10;">
                <v:fill on="f" focussize="0,0"/>
                <v:stroke color="#000000" joinstyle="miter"/>
                <v:imagedata o:title=""/>
                <o:lock v:ext="edit" aspectratio="f"/>
              </v:line>
            </w:pict>
          </mc:Fallback>
        </mc:AlternateContent>
      </w:r>
    </w:p>
    <w:p w14:paraId="63958763">
      <w:pPr>
        <w:spacing w:line="520" w:lineRule="exact"/>
        <w:ind w:right="1375" w:rightChars="655"/>
        <w:rPr>
          <w:rFonts w:ascii="宋体" w:hAnsi="宋体" w:eastAsia="宋体"/>
          <w:bCs/>
          <w:sz w:val="28"/>
        </w:rPr>
      </w:pPr>
      <w:r>
        <w:rPr>
          <w:rFonts w:hint="eastAsia" w:ascii="宋体" w:hAnsi="宋体" w:eastAsia="宋体"/>
          <w:bCs/>
          <w:sz w:val="28"/>
        </w:rPr>
        <w:t>1  主题内容和适用范围</w:t>
      </w:r>
    </w:p>
    <w:p w14:paraId="3424CBF1">
      <w:pPr>
        <w:spacing w:line="520" w:lineRule="exact"/>
        <w:ind w:right="-88" w:rightChars="-42" w:firstLine="420" w:firstLineChars="1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本规程规定了普通铣床的操作、使用和维护保养的内容和要求。</w:t>
      </w:r>
    </w:p>
    <w:p w14:paraId="191CC5B6">
      <w:pPr>
        <w:spacing w:line="520" w:lineRule="exact"/>
        <w:ind w:right="-88" w:rightChars="-42" w:firstLine="420" w:firstLineChars="1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本规程适用于院属各单位普通铣床操作岗位。</w:t>
      </w:r>
    </w:p>
    <w:p w14:paraId="77BE207B">
      <w:pPr>
        <w:spacing w:line="520" w:lineRule="exact"/>
        <w:ind w:right="1375" w:rightChars="655"/>
        <w:rPr>
          <w:rFonts w:ascii="宋体" w:hAnsi="宋体" w:eastAsia="宋体"/>
          <w:bCs/>
          <w:sz w:val="28"/>
        </w:rPr>
      </w:pPr>
      <w:r>
        <w:rPr>
          <w:rFonts w:hint="eastAsia" w:ascii="宋体" w:hAnsi="宋体" w:eastAsia="宋体"/>
          <w:bCs/>
          <w:sz w:val="28"/>
        </w:rPr>
        <w:t>2  HSE风险提示</w:t>
      </w:r>
    </w:p>
    <w:p w14:paraId="7CABEA00">
      <w:pPr>
        <w:spacing w:line="520" w:lineRule="exact"/>
        <w:ind w:right="-88" w:rightChars="-42" w:firstLine="420" w:firstLineChars="1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2.1  可能发生火灾、爆炸、物体打击伤人风险。</w:t>
      </w:r>
    </w:p>
    <w:p w14:paraId="75417E6D">
      <w:pPr>
        <w:spacing w:line="520" w:lineRule="exact"/>
        <w:ind w:right="1375" w:rightChars="655"/>
        <w:rPr>
          <w:rFonts w:ascii="宋体" w:hAnsi="宋体" w:eastAsia="宋体"/>
          <w:bCs/>
          <w:sz w:val="28"/>
        </w:rPr>
      </w:pPr>
      <w:r>
        <w:rPr>
          <w:rFonts w:hint="eastAsia" w:ascii="宋体" w:hAnsi="宋体" w:eastAsia="宋体"/>
          <w:bCs/>
          <w:sz w:val="28"/>
        </w:rPr>
        <w:t>3  内容及要求</w:t>
      </w:r>
    </w:p>
    <w:p w14:paraId="1B28723F">
      <w:pPr>
        <w:pStyle w:val="3"/>
        <w:spacing w:line="520" w:lineRule="exact"/>
        <w:ind w:left="0" w:left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3.1  启动</w:t>
      </w:r>
    </w:p>
    <w:p w14:paraId="3375891B"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3.1.1  启动前的准备工作</w:t>
      </w:r>
    </w:p>
    <w:p w14:paraId="25673B1A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1）确保实训室各强电部分可靠接地</w:t>
      </w:r>
    </w:p>
    <w:p w14:paraId="77E639B4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2）对普通铣床进行全面细致的检查，确认无误后方可开展实训教学。</w:t>
      </w:r>
    </w:p>
    <w:p w14:paraId="22E47635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3）务必在实训老师的许可下才可进入普通铣床的工作区域。</w:t>
      </w:r>
    </w:p>
    <w:p w14:paraId="02098FD2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</w:t>
      </w:r>
      <w:r>
        <w:rPr>
          <w:rFonts w:hint="eastAsia" w:ascii="宋体" w:hAnsi="宋体" w:eastAsia="宋体"/>
          <w:sz w:val="28"/>
          <w:szCs w:val="28"/>
        </w:rPr>
        <w:t>）操作前要穿紧身防护服，袖口扣紧，上衣下摆不能敞开，严禁戴手套，不得在开动的机床旁穿、脱换衣服，或围布于身上，防止机器绞伤。必须戴好安全帽，辫子应放入帽内，不得穿裙子、拖鞋。戴好防护镜，以防铁屑飞溅伤眼，并在机床周围安装挡板使之与操作区隔离。</w:t>
      </w:r>
    </w:p>
    <w:p w14:paraId="3D26ADF7"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3.1.2  启动操作与正常运转</w:t>
      </w:r>
    </w:p>
    <w:p w14:paraId="101516D4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开车前应先对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铣床</w:t>
      </w:r>
      <w:r>
        <w:rPr>
          <w:rFonts w:hint="eastAsia" w:ascii="宋体" w:hAnsi="宋体" w:eastAsia="宋体"/>
          <w:sz w:val="28"/>
          <w:szCs w:val="28"/>
        </w:rPr>
        <w:t>各部件进行检查，然后以低速运转3—5分钟，确认运转正常后方可以升速。</w:t>
      </w:r>
    </w:p>
    <w:p w14:paraId="2DE89015">
      <w:pPr>
        <w:pStyle w:val="3"/>
        <w:spacing w:line="520" w:lineRule="exact"/>
        <w:ind w:left="0" w:left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3.2  调整</w:t>
      </w:r>
    </w:p>
    <w:p w14:paraId="5A06754F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.</w:t>
      </w:r>
      <w:r>
        <w:rPr>
          <w:rFonts w:ascii="宋体" w:hAnsi="宋体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 xml:space="preserve">  工件装夹前，应拟定装夹方法。装夹毛坯件时，台面要垫好，以免损伤工作台。</w:t>
      </w:r>
    </w:p>
    <w:p w14:paraId="41F38F52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3.2.2</w:t>
      </w:r>
      <w:r>
        <w:rPr>
          <w:rFonts w:hint="eastAsia" w:ascii="宋体" w:hAnsi="宋体" w:eastAsia="宋体"/>
          <w:sz w:val="28"/>
          <w:szCs w:val="28"/>
        </w:rPr>
        <w:t xml:space="preserve">  工作台移动时要检查紧固螺丝应打开，工作台不移动时紧固螺丝应紧上。</w:t>
      </w:r>
    </w:p>
    <w:p w14:paraId="263C7581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3.2.3</w:t>
      </w:r>
      <w:r>
        <w:rPr>
          <w:rFonts w:hint="eastAsia" w:ascii="宋体" w:hAnsi="宋体" w:eastAsia="宋体"/>
          <w:sz w:val="28"/>
          <w:szCs w:val="28"/>
        </w:rPr>
        <w:t xml:space="preserve">  刀具装卸时，应保持铣刀锥体部分和锥孔的清洁，并要装夹牢固。高速切削时必须戴好防护镜。工作台不准堆放工具，零件等物，注意刀具和工件的距离，防止发生撞击事故。</w:t>
      </w:r>
    </w:p>
    <w:p w14:paraId="78BE8C54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3.2.4</w:t>
      </w:r>
      <w:r>
        <w:rPr>
          <w:rFonts w:hint="eastAsia" w:ascii="宋体" w:hAnsi="宋体" w:eastAsia="宋体"/>
          <w:sz w:val="28"/>
          <w:szCs w:val="28"/>
        </w:rPr>
        <w:t xml:space="preserve">  安装铣刀前应检查刀具是否对号、完好，铣刀尽可能靠近主轴安装，装好后要试车。安装工件应牢固。</w:t>
      </w:r>
    </w:p>
    <w:p w14:paraId="648921C3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3.2.5</w:t>
      </w:r>
      <w:r>
        <w:rPr>
          <w:rFonts w:hint="eastAsia" w:ascii="宋体" w:hAnsi="宋体" w:eastAsia="宋体"/>
          <w:sz w:val="28"/>
          <w:szCs w:val="28"/>
        </w:rPr>
        <w:t xml:space="preserve">  工作时应先用手进给，然后逐步自动走刀。运转自动走刀时，拉开手轮，注意限位挡块是否牢固，不准放到头，不要走到两极端而撞坏丝杠；使用快速行程时，要事先检查是否会发生相撞等现象，以免碰坏机件、铣刀碎裂飞出伤人。经常检查手摇把内的保险弹簧是否有效可靠。</w:t>
      </w:r>
    </w:p>
    <w:p w14:paraId="4A7385C3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3.2.6</w:t>
      </w:r>
      <w:r>
        <w:rPr>
          <w:rFonts w:hint="eastAsia" w:ascii="宋体" w:hAnsi="宋体" w:eastAsia="宋体"/>
          <w:sz w:val="28"/>
          <w:szCs w:val="28"/>
        </w:rPr>
        <w:t xml:space="preserve">  切削时禁止用手摸刀刃和加工部位。测量和检查工件必须停车进行，切削时不准调整工件。</w:t>
      </w:r>
    </w:p>
    <w:p w14:paraId="26FCA52C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3.2.7</w:t>
      </w:r>
      <w:r>
        <w:rPr>
          <w:rFonts w:hint="eastAsia" w:ascii="宋体" w:hAnsi="宋体" w:eastAsia="宋体"/>
          <w:sz w:val="28"/>
          <w:szCs w:val="28"/>
        </w:rPr>
        <w:t xml:space="preserve">  主轴停止前，须先停止进刀。如若切削深度较大时，退刀应先停车，挂轮时须切断电源，挂轮间隙要适当，挂轮架背母要紧固，以免造成脱落；加工毛坯时转速不宜太快，要选好吃刀量和进给量。</w:t>
      </w:r>
    </w:p>
    <w:p w14:paraId="37DC6C30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3.2.8</w:t>
      </w:r>
      <w:r>
        <w:rPr>
          <w:rFonts w:hint="eastAsia" w:ascii="宋体" w:hAnsi="宋体" w:eastAsia="宋体"/>
          <w:sz w:val="28"/>
          <w:szCs w:val="28"/>
        </w:rPr>
        <w:t xml:space="preserve">  发现机床有故障，应立即停车检查并报告，由机修工修理。</w:t>
      </w:r>
    </w:p>
    <w:p w14:paraId="1CAA6E76"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3.3  停止</w:t>
      </w:r>
    </w:p>
    <w:p w14:paraId="20BE16A2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3.3.1  停止前检查</w:t>
      </w:r>
    </w:p>
    <w:p w14:paraId="56D7E28C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停止前</w:t>
      </w:r>
      <w:r>
        <w:rPr>
          <w:rFonts w:ascii="宋体" w:hAnsi="宋体" w:eastAsia="宋体"/>
          <w:sz w:val="28"/>
          <w:szCs w:val="28"/>
        </w:rPr>
        <w:t>应检查</w:t>
      </w:r>
      <w:r>
        <w:rPr>
          <w:rFonts w:hint="eastAsia" w:ascii="宋体" w:hAnsi="宋体" w:eastAsia="宋体"/>
          <w:sz w:val="28"/>
          <w:szCs w:val="28"/>
        </w:rPr>
        <w:t>普通铣床</w:t>
      </w:r>
      <w:r>
        <w:rPr>
          <w:rFonts w:ascii="宋体" w:hAnsi="宋体" w:eastAsia="宋体"/>
          <w:sz w:val="28"/>
          <w:szCs w:val="28"/>
        </w:rPr>
        <w:t>工作状况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t>做好</w:t>
      </w:r>
      <w:r>
        <w:rPr>
          <w:rFonts w:hint="eastAsia" w:ascii="宋体" w:hAnsi="宋体" w:eastAsia="宋体"/>
          <w:sz w:val="28"/>
          <w:szCs w:val="28"/>
        </w:rPr>
        <w:t>运行记录</w:t>
      </w:r>
      <w:r>
        <w:rPr>
          <w:rFonts w:ascii="宋体" w:hAnsi="宋体" w:eastAsia="宋体"/>
          <w:sz w:val="28"/>
          <w:szCs w:val="28"/>
        </w:rPr>
        <w:t>。</w:t>
      </w:r>
    </w:p>
    <w:p w14:paraId="1DB0F0D6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3.3.2  停止操作与停止后检查</w:t>
      </w:r>
    </w:p>
    <w:p w14:paraId="38D7FE38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）关机前，务必将普通铣床恢复至初始姿态。</w:t>
      </w:r>
    </w:p>
    <w:p w14:paraId="5F820C6B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）工作后，停止机床工作，关闭电动机，擦抹机床，清除切屑。</w:t>
      </w:r>
    </w:p>
    <w:p w14:paraId="031FFC12">
      <w:pPr>
        <w:spacing w:line="520" w:lineRule="exact"/>
        <w:rPr>
          <w:rFonts w:ascii="宋体" w:hAnsi="宋体" w:eastAsia="宋体" w:cs="黑体"/>
          <w:sz w:val="28"/>
          <w:szCs w:val="28"/>
        </w:rPr>
      </w:pPr>
      <w:r>
        <w:rPr>
          <w:rFonts w:hint="eastAsia" w:ascii="宋体" w:hAnsi="宋体" w:eastAsia="宋体" w:cs="黑体"/>
          <w:sz w:val="28"/>
          <w:szCs w:val="28"/>
        </w:rPr>
        <w:t>4  其他要求</w:t>
      </w:r>
    </w:p>
    <w:p w14:paraId="63FEC82F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</w:t>
      </w:r>
      <w:r>
        <w:rPr>
          <w:rFonts w:hint="eastAsia" w:ascii="宋体" w:hAnsi="宋体" w:eastAsia="宋体"/>
          <w:sz w:val="28"/>
          <w:szCs w:val="28"/>
        </w:rPr>
        <w:t>.</w:t>
      </w:r>
      <w:r>
        <w:rPr>
          <w:rFonts w:ascii="宋体" w:hAnsi="宋体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每半年进行一次普通铣床</w:t>
      </w:r>
      <w:r>
        <w:rPr>
          <w:rFonts w:ascii="宋体" w:hAnsi="宋体" w:eastAsia="宋体"/>
          <w:sz w:val="28"/>
          <w:szCs w:val="28"/>
        </w:rPr>
        <w:t>功能</w:t>
      </w:r>
      <w:r>
        <w:rPr>
          <w:rFonts w:hint="eastAsia" w:ascii="宋体" w:hAnsi="宋体" w:eastAsia="宋体"/>
          <w:sz w:val="28"/>
          <w:szCs w:val="28"/>
        </w:rPr>
        <w:t>检查。</w:t>
      </w:r>
    </w:p>
    <w:p w14:paraId="7BA42660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4.2定期清扫灰尘，保持普通铣床清洁。</w:t>
      </w:r>
    </w:p>
    <w:p w14:paraId="35489EC3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4.3</w:t>
      </w:r>
      <w:r>
        <w:rPr>
          <w:rFonts w:hint="eastAsia" w:ascii="宋体" w:hAnsi="宋体" w:eastAsia="宋体"/>
          <w:sz w:val="28"/>
          <w:szCs w:val="28"/>
        </w:rPr>
        <w:t>铣床润滑</w:t>
      </w:r>
    </w:p>
    <w:p w14:paraId="09A5DA8B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4.3</w:t>
      </w:r>
      <w:r>
        <w:rPr>
          <w:rFonts w:hint="eastAsia" w:ascii="宋体" w:hAnsi="宋体" w:eastAsia="宋体"/>
          <w:sz w:val="28"/>
          <w:szCs w:val="28"/>
        </w:rPr>
        <w:t>.1  立铣头内部轴承和齿轮均采用1号和2号二硫化钼润滑脂润滑，添加量不得超过轴承空间的三分之一至二分之一，每年清洗换油一次。</w:t>
      </w:r>
    </w:p>
    <w:p w14:paraId="0B4B5FBC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4.3</w:t>
      </w:r>
      <w:r>
        <w:rPr>
          <w:rFonts w:hint="eastAsia" w:ascii="宋体" w:hAnsi="宋体" w:eastAsia="宋体"/>
          <w:sz w:val="28"/>
          <w:szCs w:val="28"/>
        </w:rPr>
        <w:t>.2  齿轮润滑脂只在齿面上涂一层即可，不宜过多，但应经常检查，发现润滑脂不足时立即添加，可以采用钠基或钙钠基润滑脂。</w:t>
      </w:r>
    </w:p>
    <w:p w14:paraId="1A658C69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4.3</w:t>
      </w:r>
      <w:r>
        <w:rPr>
          <w:rFonts w:hint="eastAsia" w:ascii="宋体" w:hAnsi="宋体" w:eastAsia="宋体"/>
          <w:sz w:val="28"/>
          <w:szCs w:val="28"/>
        </w:rPr>
        <w:t>.3  轴承润滑脂添加量不要超过其空间的三分之二，六个月清洗换油一次。</w:t>
      </w:r>
    </w:p>
    <w:p w14:paraId="433A913B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 xml:space="preserve">  铣床维护保养</w:t>
      </w:r>
    </w:p>
    <w:p w14:paraId="0DB9C0DF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>.1铣床一保作业范围</w:t>
      </w:r>
    </w:p>
    <w:p w14:paraId="7AF94243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（1）清洗调整工作台、丝杆手柄及柱上镶条；</w:t>
      </w:r>
    </w:p>
    <w:p w14:paraId="33B4A40C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（2）检查、调整离合器；</w:t>
      </w:r>
    </w:p>
    <w:p w14:paraId="50A3D3BB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（3）清洗三向导轨及油毛毡，电动机、机床内外部及附件清洁；</w:t>
      </w:r>
    </w:p>
    <w:p w14:paraId="32D3D504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（4）检查油路，加注各部润滑油；</w:t>
      </w:r>
    </w:p>
    <w:p w14:paraId="244E59AF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（5）紧固各部螺丝。</w:t>
      </w:r>
    </w:p>
    <w:p w14:paraId="63B129AE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>.2铣床二保作业范围</w:t>
      </w:r>
    </w:p>
    <w:p w14:paraId="1AD94CBC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（1）主轴箱、工作台、变速箱清洗、换油；</w:t>
      </w:r>
    </w:p>
    <w:p w14:paraId="27F1E10F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（2）检查清洗油泵和油管，检查并调整工作台、斜铁及丝杆螺母间隙；</w:t>
      </w:r>
    </w:p>
    <w:p w14:paraId="5333118D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（3）清洗离合器片，清洗冷却箱并更换冷却液，清洁电机及电器。</w:t>
      </w:r>
    </w:p>
    <w:p w14:paraId="39F609DE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>.3铣床例保作业范围</w:t>
      </w:r>
    </w:p>
    <w:p w14:paraId="10E4CE5E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（1）床身及部件的清洁工作，清扫铁屑及周边环境卫生，清洁工、夹、量具；</w:t>
      </w:r>
    </w:p>
    <w:p w14:paraId="65A3707F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（2）检查各油平面，不得低于油标以下，加注各部位润滑油。</w:t>
      </w:r>
    </w:p>
    <w:p w14:paraId="4D002891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4.5</w:t>
      </w:r>
      <w:r>
        <w:rPr>
          <w:rFonts w:hint="eastAsia" w:ascii="宋体" w:hAnsi="宋体" w:eastAsia="宋体"/>
          <w:sz w:val="28"/>
          <w:szCs w:val="28"/>
        </w:rPr>
        <w:t>铣床周末保养作业范围</w:t>
      </w:r>
    </w:p>
    <w:p w14:paraId="26C21BB2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4.5</w:t>
      </w:r>
      <w:r>
        <w:rPr>
          <w:rFonts w:hint="eastAsia" w:ascii="宋体" w:hAnsi="宋体" w:eastAsia="宋体"/>
          <w:sz w:val="28"/>
          <w:szCs w:val="28"/>
        </w:rPr>
        <w:t>.1清洁</w:t>
      </w:r>
    </w:p>
    <w:p w14:paraId="20490256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（1）拆卸清洗各部油毛毡垫；</w:t>
      </w:r>
    </w:p>
    <w:p w14:paraId="10EC86E1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（2）擦拭各滑动面和导轨面、擦拭工作台及横向、升降丝杆、擦拭走刀传动机构及刀架；</w:t>
      </w:r>
    </w:p>
    <w:p w14:paraId="25A2E7C9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（3）擦拭各部死角。</w:t>
      </w:r>
    </w:p>
    <w:p w14:paraId="48905D44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4.5</w:t>
      </w:r>
      <w:r>
        <w:rPr>
          <w:rFonts w:hint="eastAsia" w:ascii="宋体" w:hAnsi="宋体" w:eastAsia="宋体"/>
          <w:sz w:val="28"/>
          <w:szCs w:val="28"/>
        </w:rPr>
        <w:t>.2润滑</w:t>
      </w:r>
    </w:p>
    <w:p w14:paraId="6201EE42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（1）各油孔清洁畅通并加注润滑油；</w:t>
      </w:r>
    </w:p>
    <w:p w14:paraId="0CC4000A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（2）各导轨面和滑动面及各丝杆加注润滑油；</w:t>
      </w:r>
    </w:p>
    <w:p w14:paraId="2D15400D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（3）检查传动机构油箱体、油面、并加油至标高位置。</w:t>
      </w:r>
    </w:p>
    <w:p w14:paraId="7D524F7D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4.5</w:t>
      </w:r>
      <w:r>
        <w:rPr>
          <w:rFonts w:hint="eastAsia" w:ascii="宋体" w:hAnsi="宋体" w:eastAsia="宋体"/>
          <w:sz w:val="28"/>
          <w:szCs w:val="28"/>
        </w:rPr>
        <w:t>.3扭紧</w:t>
      </w:r>
    </w:p>
    <w:p w14:paraId="6733290B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（1）检查并紧固压板及镶条螺丝；</w:t>
      </w:r>
    </w:p>
    <w:p w14:paraId="74551D97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（2）检查并扭紧滑块固定螺丝、走刀传动机构、手轮、工作台支架螺丝、叉顶丝；</w:t>
      </w:r>
    </w:p>
    <w:p w14:paraId="79C02E5E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（3）检查扭紧其它部份松动螺丝。</w:t>
      </w:r>
    </w:p>
    <w:p w14:paraId="7D61C2D6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4.5</w:t>
      </w:r>
      <w:r>
        <w:rPr>
          <w:rFonts w:hint="eastAsia" w:ascii="宋体" w:hAnsi="宋体" w:eastAsia="宋体"/>
          <w:sz w:val="28"/>
          <w:szCs w:val="28"/>
        </w:rPr>
        <w:t>.4调整</w:t>
      </w:r>
    </w:p>
    <w:p w14:paraId="7FC1A4AF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（1）检查和调整皮带、压板及镶条松紧适宜；</w:t>
      </w:r>
    </w:p>
    <w:p w14:paraId="39E216A4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（2）检查和调整滑块及丝杆合令。</w:t>
      </w:r>
    </w:p>
    <w:p w14:paraId="4441583B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4.5</w:t>
      </w:r>
      <w:r>
        <w:rPr>
          <w:rFonts w:hint="eastAsia" w:ascii="宋体" w:hAnsi="宋体" w:eastAsia="宋体"/>
          <w:sz w:val="28"/>
          <w:szCs w:val="28"/>
        </w:rPr>
        <w:t>.5防腐</w:t>
      </w:r>
    </w:p>
    <w:p w14:paraId="79102FC5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（1）除去各部锈蚀，保护喷漆面，勿碰撞；</w:t>
      </w:r>
    </w:p>
    <w:p w14:paraId="505D8022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（2）停用、备用设备导轨面、滑动丝杆手轮及其它暴露在外易生锈的部位涂油防腐。</w:t>
      </w:r>
    </w:p>
    <w:p w14:paraId="6326E0A5">
      <w:pPr>
        <w:rPr>
          <w:rFonts w:ascii="宋体" w:hAnsi="宋体" w:eastAsia="宋体"/>
          <w:sz w:val="28"/>
          <w:szCs w:val="28"/>
        </w:rPr>
      </w:pPr>
    </w:p>
    <w:p w14:paraId="1DD8D71F">
      <w:pPr>
        <w:rPr>
          <w:rFonts w:ascii="宋体" w:hAnsi="宋体" w:eastAsia="宋体"/>
          <w:sz w:val="28"/>
          <w:szCs w:val="28"/>
        </w:rPr>
      </w:pPr>
    </w:p>
    <w:p w14:paraId="0E9D6FE9">
      <w:pPr>
        <w:spacing w:line="520" w:lineRule="exact"/>
        <w:ind w:firstLine="3640" w:firstLineChars="13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编写人：程宝鑫</w:t>
      </w:r>
    </w:p>
    <w:p w14:paraId="69A28220">
      <w:pPr>
        <w:spacing w:line="520" w:lineRule="exact"/>
        <w:ind w:firstLine="3640" w:firstLineChars="13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审核人：崔立辉</w:t>
      </w:r>
    </w:p>
    <w:p w14:paraId="3BCFF89A">
      <w:pPr>
        <w:spacing w:line="520" w:lineRule="exact"/>
        <w:ind w:firstLine="3640" w:firstLineChars="13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审批人：吴  勇</w:t>
      </w:r>
    </w:p>
    <w:p w14:paraId="088659FB">
      <w:pPr>
        <w:spacing w:line="520" w:lineRule="exact"/>
        <w:ind w:firstLine="3640" w:firstLineChars="13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编写部门：机械加工中心</w:t>
      </w:r>
    </w:p>
    <w:p w14:paraId="64682C88">
      <w:pPr>
        <w:rPr>
          <w:rFonts w:hint="eastAsia" w:ascii="宋体" w:hAnsi="宋体" w:eastAsia="宋体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E523CB7-9B59-4C4E-B430-36053E77347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ED609523-7BFF-4AF3-90A4-4119CA22DA3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353710">
    <w:pPr>
      <w:pStyle w:val="5"/>
      <w:jc w:val="right"/>
    </w:pPr>
    <w:r>
      <w:t>发布日期：</w:t>
    </w:r>
    <w:r>
      <w:rPr>
        <w:rFonts w:hint="eastAsia"/>
        <w:lang w:eastAsia="zh-CN"/>
      </w:rPr>
      <w:t>202</w:t>
    </w:r>
    <w:r>
      <w:rPr>
        <w:rFonts w:hint="eastAsia"/>
        <w:lang w:val="en-US" w:eastAsia="zh-CN"/>
      </w:rPr>
      <w:t>5</w:t>
    </w:r>
    <w:r>
      <w:rPr>
        <w:rFonts w:hint="eastAsia"/>
      </w:rPr>
      <w:t>年</w:t>
    </w:r>
    <w:r>
      <w:rPr>
        <w:rFonts w:hint="eastAsia"/>
        <w:lang w:val="en-US" w:eastAsia="zh-CN"/>
      </w:rPr>
      <w:t>6</w:t>
    </w:r>
    <w:r>
      <w:rPr>
        <w:rFonts w:hint="eastAsia"/>
      </w:rPr>
      <w:t>月31日</w:t>
    </w:r>
  </w:p>
  <w:p w14:paraId="58CA58EC">
    <w:pPr>
      <w:pStyle w:val="5"/>
      <w:jc w:val="right"/>
    </w:pPr>
    <w:r>
      <w:t>实施日期：</w:t>
    </w:r>
    <w:r>
      <w:rPr>
        <w:rFonts w:hint="eastAsia"/>
        <w:lang w:eastAsia="zh-CN"/>
      </w:rPr>
      <w:t>202</w:t>
    </w:r>
    <w:r>
      <w:rPr>
        <w:rFonts w:hint="eastAsia"/>
        <w:lang w:val="en-US" w:eastAsia="zh-CN"/>
      </w:rPr>
      <w:t>5</w:t>
    </w:r>
    <w:r>
      <w:rPr>
        <w:rFonts w:hint="eastAsia"/>
      </w:rPr>
      <w:t>年</w:t>
    </w:r>
    <w:r>
      <w:rPr>
        <w:rFonts w:hint="eastAsia"/>
        <w:lang w:val="en-US" w:eastAsia="zh-CN"/>
      </w:rPr>
      <w:t>6</w:t>
    </w:r>
    <w:r>
      <w:rPr>
        <w:rFonts w:hint="eastAsia"/>
      </w:rPr>
      <w:t>月31日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5B1FF0"/>
    <w:rsid w:val="00167807"/>
    <w:rsid w:val="0020175C"/>
    <w:rsid w:val="002A0569"/>
    <w:rsid w:val="00486B80"/>
    <w:rsid w:val="00537314"/>
    <w:rsid w:val="00551B3A"/>
    <w:rsid w:val="00610176"/>
    <w:rsid w:val="00622595"/>
    <w:rsid w:val="006E1042"/>
    <w:rsid w:val="00786A10"/>
    <w:rsid w:val="007A0024"/>
    <w:rsid w:val="007A60E6"/>
    <w:rsid w:val="00865D3B"/>
    <w:rsid w:val="00A14A3A"/>
    <w:rsid w:val="00A45F1F"/>
    <w:rsid w:val="00AD353B"/>
    <w:rsid w:val="00AE20D9"/>
    <w:rsid w:val="00AF1F27"/>
    <w:rsid w:val="00B22917"/>
    <w:rsid w:val="00B55061"/>
    <w:rsid w:val="00C8481C"/>
    <w:rsid w:val="00CF6EC7"/>
    <w:rsid w:val="00DF0E7A"/>
    <w:rsid w:val="00E6373B"/>
    <w:rsid w:val="00EE34A4"/>
    <w:rsid w:val="00F32A5D"/>
    <w:rsid w:val="00F970F9"/>
    <w:rsid w:val="04EC6966"/>
    <w:rsid w:val="165B1FF0"/>
    <w:rsid w:val="32B15D2D"/>
    <w:rsid w:val="3FEF0B0F"/>
    <w:rsid w:val="74EA63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kern w:val="2"/>
      <w:sz w:val="18"/>
      <w:szCs w:val="18"/>
    </w:rPr>
  </w:style>
  <w:style w:type="character" w:customStyle="1" w:styleId="11">
    <w:name w:val="批注框文本 Char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1768</Words>
  <Characters>1899</Characters>
  <Lines>14</Lines>
  <Paragraphs>4</Paragraphs>
  <TotalTime>0</TotalTime>
  <ScaleCrop>false</ScaleCrop>
  <LinksUpToDate>false</LinksUpToDate>
  <CharactersWithSpaces>2008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2022-04-12T01:18:00Z</dcterms:created>
  <dc:creator>周永彬</dc:creator>
  <cp:lastModifiedBy>千滴水</cp:lastModifiedBy>
  <dcterms:modified xsi:type="dcterms:W3CDTF">2025-06-09T02:47:47Z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2471554BFE6A41AFBCE7CE382A577333_13</vt:lpwstr>
  </property>
  <property fmtid="{D5CDD505-2E9C-101B-9397-08002B2CF9AE}" pid="4" name="KSOTemplateDocerSaveRecord">
    <vt:lpwstr>eyJoZGlkIjoiYWNkYmQxNDkxY2QxMDJlNGJmY2VhOTJjMjc1MjRmNTgiLCJ1c2VySWQiOiI3NzI3MDk5NjUifQ==</vt:lpwstr>
  </property>
</Properties>
</file>