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3F912F"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 w:cs="Times New Roman"/>
          <w:color w:val="CC3300"/>
          <w:w w:val="80"/>
          <w:sz w:val="72"/>
          <w:szCs w:val="72"/>
        </w:rPr>
        <w:t>天津石油职业技术学院操作规程</w:t>
      </w:r>
    </w:p>
    <w:p w14:paraId="5E1977D0">
      <w:pPr>
        <w:adjustRightInd w:val="0"/>
        <w:snapToGrid w:val="0"/>
        <w:spacing w:line="440" w:lineRule="exact"/>
        <w:jc w:val="center"/>
        <w:rPr>
          <w:rFonts w:ascii="宋体" w:hAnsi="宋体" w:eastAsia="宋体" w:cs="黑体"/>
          <w:bCs/>
          <w:snapToGrid w:val="0"/>
          <w:color w:val="000000"/>
          <w:spacing w:val="-2"/>
          <w:kern w:val="0"/>
          <w:sz w:val="32"/>
          <w:szCs w:val="32"/>
        </w:rPr>
      </w:pPr>
      <w:r>
        <w:rPr>
          <w:rFonts w:hint="eastAsia" w:ascii="宋体" w:hAnsi="宋体" w:eastAsia="宋体" w:cs="黑体"/>
          <w:bCs/>
          <w:snapToGrid w:val="0"/>
          <w:color w:val="000000"/>
          <w:spacing w:val="-2"/>
          <w:kern w:val="0"/>
          <w:sz w:val="32"/>
          <w:szCs w:val="32"/>
        </w:rPr>
        <w:t>砂轮机操作规程</w:t>
      </w:r>
    </w:p>
    <w:p w14:paraId="28D16FB6">
      <w:pPr>
        <w:adjustRightInd w:val="0"/>
        <w:snapToGrid w:val="0"/>
        <w:spacing w:line="440" w:lineRule="exact"/>
        <w:jc w:val="center"/>
        <w:rPr>
          <w:rFonts w:ascii="宋体" w:hAnsi="宋体" w:eastAsia="宋体" w:cs="方正仿宋简体"/>
          <w:color w:val="000000"/>
          <w:sz w:val="32"/>
          <w:szCs w:val="32"/>
        </w:rPr>
      </w:pPr>
      <w:bookmarkStart w:id="0" w:name="_GoBack"/>
      <w:bookmarkEnd w:id="0"/>
    </w:p>
    <w:p w14:paraId="1D2D7C89">
      <w:pPr>
        <w:adjustRightInd w:val="0"/>
        <w:snapToGrid w:val="0"/>
        <w:spacing w:line="440" w:lineRule="exact"/>
        <w:rPr>
          <w:rFonts w:ascii="宋体" w:hAnsi="宋体" w:eastAsia="宋体" w:cs="方正仿宋简体"/>
          <w:color w:val="000000"/>
          <w:sz w:val="28"/>
          <w:szCs w:val="28"/>
        </w:rPr>
      </w:pPr>
      <w:r>
        <w:rPr>
          <w:rFonts w:hint="eastAsia" w:ascii="宋体" w:hAnsi="宋体" w:eastAsia="宋体" w:cs="方正仿宋简体"/>
          <w:color w:val="000000"/>
          <w:sz w:val="28"/>
          <w:szCs w:val="28"/>
        </w:rPr>
        <w:t>文件编码：</w:t>
      </w:r>
      <w:r>
        <w:rPr>
          <w:rFonts w:ascii="宋体" w:hAnsi="宋体" w:eastAsia="宋体" w:cs="方正仿宋简体"/>
          <w:color w:val="000000"/>
          <w:sz w:val="28"/>
          <w:szCs w:val="28"/>
        </w:rPr>
        <w:t>GC/HBYT 3</w:t>
      </w:r>
      <w:r>
        <w:rPr>
          <w:rFonts w:hint="eastAsia" w:ascii="宋体" w:hAnsi="宋体" w:eastAsia="宋体" w:cs="方正仿宋简体"/>
          <w:color w:val="000000"/>
          <w:sz w:val="28"/>
          <w:szCs w:val="28"/>
        </w:rPr>
        <w:t>9</w:t>
      </w:r>
      <w:r>
        <w:rPr>
          <w:rFonts w:ascii="宋体" w:hAnsi="宋体" w:eastAsia="宋体" w:cs="方正仿宋简体"/>
          <w:color w:val="000000"/>
          <w:sz w:val="28"/>
          <w:szCs w:val="28"/>
        </w:rPr>
        <w:t>-0611-</w:t>
      </w:r>
      <w:r>
        <w:rPr>
          <w:rFonts w:hint="eastAsia" w:ascii="宋体" w:hAnsi="宋体" w:eastAsia="宋体" w:cs="方正仿宋简体"/>
          <w:color w:val="000000"/>
          <w:sz w:val="28"/>
          <w:szCs w:val="28"/>
          <w:lang w:eastAsia="zh-CN"/>
        </w:rPr>
        <w:t>202</w:t>
      </w:r>
      <w:r>
        <w:rPr>
          <w:rFonts w:hint="eastAsia" w:ascii="宋体" w:hAnsi="宋体" w:eastAsia="宋体" w:cs="方正仿宋简体"/>
          <w:color w:val="000000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方正仿宋简体"/>
          <w:color w:val="000000"/>
          <w:sz w:val="28"/>
          <w:szCs w:val="28"/>
        </w:rPr>
        <w:t xml:space="preserve">                 修订次数：1</w:t>
      </w:r>
    </w:p>
    <w:p w14:paraId="66D629F3">
      <w:pPr>
        <w:adjustRightInd w:val="0"/>
        <w:snapToGrid w:val="0"/>
        <w:spacing w:line="440" w:lineRule="exact"/>
        <w:jc w:val="left"/>
        <w:rPr>
          <w:rFonts w:ascii="宋体" w:hAnsi="宋体" w:eastAsia="宋体" w:cs="方正仿宋简体"/>
          <w:color w:val="000000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 xml:space="preserve">发行版本：E </w:t>
      </w:r>
      <w:r>
        <w:rPr>
          <w:rFonts w:hint="eastAsia" w:ascii="宋体" w:hAnsi="宋体" w:eastAsia="宋体" w:cs="方正仿宋简体"/>
          <w:color w:val="000000"/>
          <w:sz w:val="28"/>
          <w:szCs w:val="28"/>
        </w:rPr>
        <w:t xml:space="preserve">                                   页    码：</w:t>
      </w:r>
      <w:r>
        <w:rPr>
          <w:rFonts w:hint="eastAsia" w:ascii="宋体" w:hAnsi="宋体" w:eastAsia="宋体" w:cs="Times New Roman"/>
          <w:sz w:val="28"/>
          <w:szCs w:val="28"/>
        </w:rPr>
        <w:t>1/</w:t>
      </w:r>
      <w:r>
        <w:rPr>
          <w:rFonts w:ascii="宋体" w:hAnsi="宋体" w:eastAsia="宋体" w:cs="Times New Roman"/>
          <w:sz w:val="28"/>
          <w:szCs w:val="28"/>
        </w:rPr>
        <w:t>2</w:t>
      </w:r>
    </w:p>
    <w:p w14:paraId="035BCD3E">
      <w:pPr>
        <w:spacing w:line="520" w:lineRule="exact"/>
        <w:ind w:right="1375" w:rightChars="655"/>
        <w:rPr>
          <w:rFonts w:ascii="宋体" w:hAnsi="宋体" w:eastAsia="宋体" w:cs="方正仿宋简体"/>
          <w:bCs/>
          <w:color w:val="000000"/>
          <w:sz w:val="32"/>
          <w:szCs w:val="32"/>
        </w:rPr>
      </w:pPr>
      <w:r>
        <w:rPr>
          <w:rFonts w:ascii="宋体" w:hAnsi="宋体" w:eastAsia="宋体" w:cs="方正仿宋简体"/>
          <w:bCs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138430</wp:posOffset>
                </wp:positionV>
                <wp:extent cx="5486400" cy="0"/>
                <wp:effectExtent l="0" t="4445" r="0" b="508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-5.25pt;margin-top:10.9pt;height:0pt;width:432pt;z-index:251659264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">
                <v:fill on="f" focussize="0,0"/>
                <v:stroke color="#000000" joinstyle="miter"/>
                <v:imagedata o:title=""/>
                <o:lock v:ext="edit" aspectratio="f"/>
              </v:line>
            </w:pict>
          </mc:Fallback>
        </mc:AlternateContent>
      </w:r>
    </w:p>
    <w:p w14:paraId="345CA98B">
      <w:pPr>
        <w:spacing w:line="520" w:lineRule="exact"/>
        <w:ind w:right="1375" w:rightChars="655"/>
        <w:rPr>
          <w:rFonts w:ascii="宋体" w:hAnsi="宋体" w:eastAsia="宋体"/>
          <w:bCs/>
          <w:sz w:val="28"/>
        </w:rPr>
      </w:pPr>
      <w:r>
        <w:rPr>
          <w:rFonts w:hint="eastAsia" w:ascii="宋体" w:hAnsi="宋体" w:eastAsia="宋体"/>
          <w:bCs/>
          <w:sz w:val="28"/>
        </w:rPr>
        <w:t>1  主题内容和适用范围</w:t>
      </w:r>
    </w:p>
    <w:p w14:paraId="43B0F210">
      <w:pPr>
        <w:spacing w:line="520" w:lineRule="exact"/>
        <w:ind w:right="-88" w:rightChars="-42" w:firstLine="420" w:firstLineChars="15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本规程规定了砂轮机的操作、使用和维护保养的内容和要求。</w:t>
      </w:r>
    </w:p>
    <w:p w14:paraId="2F47C7FD">
      <w:pPr>
        <w:spacing w:line="520" w:lineRule="exact"/>
        <w:ind w:right="-88" w:rightChars="-42" w:firstLine="420" w:firstLineChars="15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本规程适用于院属各单位砂轮机操作岗位。</w:t>
      </w:r>
    </w:p>
    <w:p w14:paraId="6DFB4034">
      <w:pPr>
        <w:spacing w:line="520" w:lineRule="exact"/>
        <w:ind w:right="1375" w:rightChars="655"/>
        <w:rPr>
          <w:rFonts w:ascii="宋体" w:hAnsi="宋体" w:eastAsia="宋体"/>
          <w:bCs/>
          <w:sz w:val="28"/>
        </w:rPr>
      </w:pPr>
      <w:r>
        <w:rPr>
          <w:rFonts w:hint="eastAsia" w:ascii="宋体" w:hAnsi="宋体" w:eastAsia="宋体"/>
          <w:bCs/>
          <w:sz w:val="28"/>
        </w:rPr>
        <w:t>2  HSE风险提示</w:t>
      </w:r>
    </w:p>
    <w:p w14:paraId="73CB208E">
      <w:pPr>
        <w:spacing w:line="520" w:lineRule="exact"/>
        <w:ind w:right="-88" w:rightChars="-42" w:firstLine="420" w:firstLineChars="15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2.1  可能发生火灾、爆炸、物体打击伤人风险。</w:t>
      </w:r>
    </w:p>
    <w:p w14:paraId="0B69D016">
      <w:pPr>
        <w:spacing w:line="520" w:lineRule="exact"/>
        <w:ind w:right="1375" w:rightChars="655"/>
        <w:rPr>
          <w:rFonts w:ascii="宋体" w:hAnsi="宋体" w:eastAsia="宋体"/>
          <w:bCs/>
          <w:sz w:val="28"/>
        </w:rPr>
      </w:pPr>
      <w:r>
        <w:rPr>
          <w:rFonts w:hint="eastAsia" w:ascii="宋体" w:hAnsi="宋体" w:eastAsia="宋体"/>
          <w:bCs/>
          <w:sz w:val="28"/>
        </w:rPr>
        <w:t>3  内容及要求</w:t>
      </w:r>
    </w:p>
    <w:p w14:paraId="5D9C45F1">
      <w:pPr>
        <w:pStyle w:val="3"/>
        <w:spacing w:line="520" w:lineRule="exact"/>
        <w:ind w:left="0" w:leftChars="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3.1  启动</w:t>
      </w:r>
    </w:p>
    <w:p w14:paraId="11C6FD94">
      <w:pPr>
        <w:spacing w:line="52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3.1.1  启动前的准备工作</w:t>
      </w:r>
    </w:p>
    <w:p w14:paraId="705E4D34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1）确保实训室各强电部分可靠接地</w:t>
      </w:r>
    </w:p>
    <w:p w14:paraId="4D0C57BD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2）对砂轮机进行全面细致的检查，确认无误后方可开展实训教学。</w:t>
      </w:r>
    </w:p>
    <w:p w14:paraId="66BA1CD3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3）务必在实训老师的许可下才可进入砂轮机的工作区域。</w:t>
      </w:r>
    </w:p>
    <w:p w14:paraId="077FEED0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</w:t>
      </w:r>
      <w:r>
        <w:rPr>
          <w:rFonts w:hint="eastAsia" w:ascii="宋体" w:hAnsi="宋体" w:eastAsia="宋体"/>
          <w:sz w:val="28"/>
          <w:szCs w:val="28"/>
        </w:rPr>
        <w:t>）使用前按日保内容对砂轮机各部位进行检查。</w:t>
      </w:r>
    </w:p>
    <w:p w14:paraId="24B74104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5</w:t>
      </w:r>
      <w:r>
        <w:rPr>
          <w:rFonts w:hint="eastAsia" w:ascii="宋体" w:hAnsi="宋体" w:eastAsia="宋体"/>
          <w:sz w:val="28"/>
          <w:szCs w:val="28"/>
        </w:rPr>
        <w:t>）使用前要穿好工作服，戴好护目镜及劳保手套。</w:t>
      </w:r>
    </w:p>
    <w:p w14:paraId="43DD17A6">
      <w:pPr>
        <w:spacing w:line="52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3.1.2  启动操作与正常运转</w:t>
      </w:r>
    </w:p>
    <w:p w14:paraId="3F47790F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开动电机，启动设备，启动后要听电机声音是否正常，转动方向是否正确；确认正常后方可使用。</w:t>
      </w:r>
    </w:p>
    <w:p w14:paraId="5033BBE1">
      <w:pPr>
        <w:pStyle w:val="3"/>
        <w:spacing w:line="520" w:lineRule="exact"/>
        <w:ind w:left="0" w:leftChars="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3.2  调整</w:t>
      </w:r>
    </w:p>
    <w:p w14:paraId="7020D86C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3.2.1</w:t>
      </w:r>
      <w:r>
        <w:rPr>
          <w:rFonts w:hint="eastAsia" w:ascii="宋体" w:hAnsi="宋体" w:eastAsia="宋体"/>
          <w:sz w:val="28"/>
          <w:szCs w:val="28"/>
        </w:rPr>
        <w:t>操作时要站在砂轮机侧面，以防砂轮破裂伤人。</w:t>
      </w:r>
    </w:p>
    <w:p w14:paraId="3BD5F42E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3.2.2</w:t>
      </w:r>
      <w:r>
        <w:rPr>
          <w:rFonts w:hint="eastAsia" w:ascii="宋体" w:hAnsi="宋体" w:eastAsia="宋体"/>
          <w:sz w:val="28"/>
          <w:szCs w:val="28"/>
        </w:rPr>
        <w:t>操作时工件要握稳，缓慢靠近砂轮，严禁用力过猛、过快，防止对砂轮片造成破坏。</w:t>
      </w:r>
    </w:p>
    <w:p w14:paraId="2279C038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3.2.3</w:t>
      </w:r>
      <w:r>
        <w:rPr>
          <w:rFonts w:hint="eastAsia" w:ascii="宋体" w:hAnsi="宋体" w:eastAsia="宋体"/>
          <w:sz w:val="28"/>
          <w:szCs w:val="28"/>
        </w:rPr>
        <w:t>经常检查砂轮片的磨损情况，磨损严重时要及时更换。</w:t>
      </w:r>
    </w:p>
    <w:p w14:paraId="1934D3C6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3.2.4</w:t>
      </w:r>
      <w:r>
        <w:rPr>
          <w:rFonts w:hint="eastAsia" w:ascii="宋体" w:hAnsi="宋体" w:eastAsia="宋体"/>
          <w:sz w:val="28"/>
          <w:szCs w:val="28"/>
        </w:rPr>
        <w:t>砂轮机要有接地装置，以保安全，不得以机械或建筑物代替地线。</w:t>
      </w:r>
    </w:p>
    <w:p w14:paraId="2D5372DD">
      <w:pPr>
        <w:spacing w:line="52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3.3  停止</w:t>
      </w:r>
    </w:p>
    <w:p w14:paraId="617FE0EF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3.3.1  停止前检查</w:t>
      </w:r>
    </w:p>
    <w:p w14:paraId="5A9C6222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停止前</w:t>
      </w:r>
      <w:r>
        <w:rPr>
          <w:rFonts w:ascii="宋体" w:hAnsi="宋体" w:eastAsia="宋体"/>
          <w:sz w:val="28"/>
          <w:szCs w:val="28"/>
        </w:rPr>
        <w:t>应检查</w:t>
      </w:r>
      <w:r>
        <w:rPr>
          <w:rFonts w:hint="eastAsia" w:ascii="宋体" w:hAnsi="宋体" w:eastAsia="宋体"/>
          <w:sz w:val="28"/>
          <w:szCs w:val="28"/>
        </w:rPr>
        <w:t>砂轮机</w:t>
      </w:r>
      <w:r>
        <w:rPr>
          <w:rFonts w:ascii="宋体" w:hAnsi="宋体" w:eastAsia="宋体"/>
          <w:sz w:val="28"/>
          <w:szCs w:val="28"/>
        </w:rPr>
        <w:t>工作状况</w:t>
      </w:r>
      <w:r>
        <w:rPr>
          <w:rFonts w:hint="eastAsia" w:ascii="宋体" w:hAnsi="宋体" w:eastAsia="宋体"/>
          <w:sz w:val="28"/>
          <w:szCs w:val="28"/>
        </w:rPr>
        <w:t>，</w:t>
      </w:r>
      <w:r>
        <w:rPr>
          <w:rFonts w:ascii="宋体" w:hAnsi="宋体" w:eastAsia="宋体"/>
          <w:sz w:val="28"/>
          <w:szCs w:val="28"/>
        </w:rPr>
        <w:t>做好</w:t>
      </w:r>
      <w:r>
        <w:rPr>
          <w:rFonts w:hint="eastAsia" w:ascii="宋体" w:hAnsi="宋体" w:eastAsia="宋体"/>
          <w:sz w:val="28"/>
          <w:szCs w:val="28"/>
        </w:rPr>
        <w:t>运行记录</w:t>
      </w:r>
      <w:r>
        <w:rPr>
          <w:rFonts w:ascii="宋体" w:hAnsi="宋体" w:eastAsia="宋体"/>
          <w:sz w:val="28"/>
          <w:szCs w:val="28"/>
        </w:rPr>
        <w:t>。</w:t>
      </w:r>
    </w:p>
    <w:p w14:paraId="61B5DA60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3.3.2  停止操作与停止后检查</w:t>
      </w:r>
    </w:p>
    <w:p w14:paraId="4040E521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</w:t>
      </w:r>
      <w:r>
        <w:rPr>
          <w:rFonts w:hint="eastAsia" w:ascii="宋体" w:hAnsi="宋体" w:eastAsia="宋体"/>
          <w:sz w:val="28"/>
          <w:szCs w:val="28"/>
        </w:rPr>
        <w:t>）关机前，务必将砂轮机恢复至初始姿态。</w:t>
      </w:r>
    </w:p>
    <w:p w14:paraId="13896CA3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）使用完要将砂轮机电源切断，将砂轮机及场地清理干净。。</w:t>
      </w:r>
    </w:p>
    <w:p w14:paraId="339A755D">
      <w:pPr>
        <w:spacing w:line="520" w:lineRule="exact"/>
        <w:rPr>
          <w:rFonts w:ascii="宋体" w:hAnsi="宋体" w:eastAsia="宋体" w:cs="黑体"/>
          <w:sz w:val="28"/>
          <w:szCs w:val="28"/>
        </w:rPr>
      </w:pPr>
      <w:r>
        <w:rPr>
          <w:rFonts w:hint="eastAsia" w:ascii="宋体" w:hAnsi="宋体" w:eastAsia="宋体" w:cs="黑体"/>
          <w:sz w:val="28"/>
          <w:szCs w:val="28"/>
        </w:rPr>
        <w:t>4  其他要求</w:t>
      </w:r>
    </w:p>
    <w:p w14:paraId="1471AF27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</w:t>
      </w:r>
      <w:r>
        <w:rPr>
          <w:rFonts w:hint="eastAsia" w:ascii="宋体" w:hAnsi="宋体" w:eastAsia="宋体"/>
          <w:sz w:val="28"/>
          <w:szCs w:val="28"/>
        </w:rPr>
        <w:t>.</w:t>
      </w:r>
      <w:r>
        <w:rPr>
          <w:rFonts w:ascii="宋体" w:hAnsi="宋体" w:eastAsia="宋体"/>
          <w:sz w:val="28"/>
          <w:szCs w:val="28"/>
        </w:rPr>
        <w:t>1</w:t>
      </w:r>
      <w:r>
        <w:rPr>
          <w:rFonts w:hint="eastAsia" w:ascii="宋体" w:hAnsi="宋体" w:eastAsia="宋体"/>
          <w:sz w:val="28"/>
          <w:szCs w:val="28"/>
        </w:rPr>
        <w:t>每半年进行一次砂轮机</w:t>
      </w:r>
      <w:r>
        <w:rPr>
          <w:rFonts w:ascii="宋体" w:hAnsi="宋体" w:eastAsia="宋体"/>
          <w:sz w:val="28"/>
          <w:szCs w:val="28"/>
        </w:rPr>
        <w:t>功能</w:t>
      </w:r>
      <w:r>
        <w:rPr>
          <w:rFonts w:hint="eastAsia" w:ascii="宋体" w:hAnsi="宋体" w:eastAsia="宋体"/>
          <w:sz w:val="28"/>
          <w:szCs w:val="28"/>
        </w:rPr>
        <w:t>检查。</w:t>
      </w:r>
    </w:p>
    <w:p w14:paraId="2AAC598B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4.2定期清扫灰尘，保持砂轮机清洁。</w:t>
      </w:r>
    </w:p>
    <w:p w14:paraId="2AB745C8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4.3</w:t>
      </w:r>
      <w:r>
        <w:rPr>
          <w:rFonts w:hint="eastAsia" w:ascii="宋体" w:hAnsi="宋体" w:eastAsia="宋体"/>
          <w:sz w:val="28"/>
          <w:szCs w:val="28"/>
        </w:rPr>
        <w:t xml:space="preserve">  日常检查</w:t>
      </w:r>
    </w:p>
    <w:p w14:paraId="242AF11E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4.3.1  检查砂轮机砂轮磨损情况。</w:t>
      </w:r>
    </w:p>
    <w:p w14:paraId="07D4E8B4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4.3.2  检查砂轮与挡板间距是否合适。</w:t>
      </w:r>
    </w:p>
    <w:p w14:paraId="00F3D428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4.3.3  检查砂轮机防护罩是否齐全。</w:t>
      </w:r>
    </w:p>
    <w:p w14:paraId="5BC57D9A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4.3.4  检查砂轮机操作手柄功能是否正常。</w:t>
      </w:r>
    </w:p>
    <w:p w14:paraId="6A70AD97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4.3.5  检查砂轮机电路是否正常。</w:t>
      </w:r>
    </w:p>
    <w:p w14:paraId="22BCF460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4.3.6  发现处理不了的问题，及时汇报，找专业人员修理。</w:t>
      </w:r>
    </w:p>
    <w:p w14:paraId="5C1F0AD2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4.4  维护保养</w:t>
      </w:r>
    </w:p>
    <w:p w14:paraId="52C7285A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4.4.1  每个工作日对砂轮片和挡板间距进行检查、调整，不得超过一指宽。 </w:t>
      </w:r>
    </w:p>
    <w:p w14:paraId="2252C0F0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4.4.2  每个工作日检查砂轮片的紧固程度。</w:t>
      </w:r>
    </w:p>
    <w:p w14:paraId="1DD812AE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4.4.3  定期对磨损超标砂轮进行更换。</w:t>
      </w:r>
    </w:p>
    <w:p w14:paraId="0F506EA7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4.4.4  每半年对砂轮机电路进行例行检修维护。</w:t>
      </w:r>
    </w:p>
    <w:p w14:paraId="6DD05EF3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4.5</w:t>
      </w:r>
      <w:r>
        <w:rPr>
          <w:rFonts w:hint="eastAsia" w:ascii="宋体" w:hAnsi="宋体" w:eastAsia="宋体"/>
          <w:sz w:val="28"/>
          <w:szCs w:val="28"/>
        </w:rPr>
        <w:t xml:space="preserve">  及时填写《设备设备维护保养记录》。</w:t>
      </w:r>
    </w:p>
    <w:p w14:paraId="4127EEBC">
      <w:pPr>
        <w:rPr>
          <w:rFonts w:ascii="宋体" w:hAnsi="宋体" w:eastAsia="宋体"/>
          <w:sz w:val="28"/>
          <w:szCs w:val="28"/>
        </w:rPr>
      </w:pPr>
    </w:p>
    <w:p w14:paraId="19CD825C">
      <w:pPr>
        <w:rPr>
          <w:rFonts w:ascii="宋体" w:hAnsi="宋体" w:eastAsia="宋体"/>
          <w:sz w:val="28"/>
          <w:szCs w:val="28"/>
        </w:rPr>
      </w:pPr>
    </w:p>
    <w:p w14:paraId="7F5C4388">
      <w:pPr>
        <w:spacing w:line="520" w:lineRule="exact"/>
        <w:ind w:firstLine="3640" w:firstLineChars="13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编写人：程宝鑫</w:t>
      </w:r>
    </w:p>
    <w:p w14:paraId="0543D239">
      <w:pPr>
        <w:spacing w:line="520" w:lineRule="exact"/>
        <w:ind w:firstLine="3640" w:firstLineChars="130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审核人：崔立辉</w:t>
      </w:r>
    </w:p>
    <w:p w14:paraId="54E15C77">
      <w:pPr>
        <w:spacing w:line="520" w:lineRule="exact"/>
        <w:ind w:firstLine="3640" w:firstLineChars="130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审批人：吴  勇</w:t>
      </w:r>
    </w:p>
    <w:p w14:paraId="5F0372FD">
      <w:pPr>
        <w:spacing w:line="520" w:lineRule="exact"/>
        <w:ind w:firstLine="3640" w:firstLineChars="130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编写部门：机械加工中心</w:t>
      </w:r>
    </w:p>
    <w:p w14:paraId="5AE0E1D1">
      <w:pPr>
        <w:rPr>
          <w:rFonts w:hint="eastAsia" w:ascii="宋体" w:hAnsi="宋体" w:eastAsia="宋体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792F88D-2565-4C50-B308-22EAFE6A428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3B00552A-3C24-436A-900C-B406D1048B3C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532A2DB9-6E87-479D-86F1-FADCC42FC21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70715B">
    <w:pPr>
      <w:pStyle w:val="5"/>
      <w:jc w:val="right"/>
    </w:pPr>
    <w:r>
      <w:t>发布日期：</w:t>
    </w:r>
    <w:r>
      <w:rPr>
        <w:rFonts w:hint="eastAsia"/>
        <w:lang w:eastAsia="zh-CN"/>
      </w:rPr>
      <w:t>202</w:t>
    </w:r>
    <w:r>
      <w:rPr>
        <w:rFonts w:hint="eastAsia"/>
        <w:lang w:val="en-US" w:eastAsia="zh-CN"/>
      </w:rPr>
      <w:t>5</w:t>
    </w:r>
    <w:r>
      <w:rPr>
        <w:rFonts w:hint="eastAsia"/>
      </w:rPr>
      <w:t>年</w:t>
    </w:r>
    <w:r>
      <w:rPr>
        <w:rFonts w:hint="eastAsia"/>
        <w:lang w:val="en-US" w:eastAsia="zh-CN"/>
      </w:rPr>
      <w:t>6</w:t>
    </w:r>
    <w:r>
      <w:rPr>
        <w:rFonts w:hint="eastAsia"/>
      </w:rPr>
      <w:t>月31日</w:t>
    </w:r>
  </w:p>
  <w:p w14:paraId="2099AEBD">
    <w:pPr>
      <w:pStyle w:val="5"/>
      <w:jc w:val="right"/>
    </w:pPr>
    <w:r>
      <w:t>实施日期：</w:t>
    </w:r>
    <w:r>
      <w:rPr>
        <w:rFonts w:hint="eastAsia"/>
        <w:lang w:eastAsia="zh-CN"/>
      </w:rPr>
      <w:t>202</w:t>
    </w:r>
    <w:r>
      <w:rPr>
        <w:rFonts w:hint="eastAsia"/>
        <w:lang w:val="en-US" w:eastAsia="zh-CN"/>
      </w:rPr>
      <w:t>5</w:t>
    </w:r>
    <w:r>
      <w:rPr>
        <w:rFonts w:hint="eastAsia"/>
      </w:rPr>
      <w:t>年</w:t>
    </w:r>
    <w:r>
      <w:rPr>
        <w:rFonts w:hint="eastAsia"/>
        <w:lang w:val="en-US" w:eastAsia="zh-CN"/>
      </w:rPr>
      <w:t>6</w:t>
    </w:r>
    <w:r>
      <w:rPr>
        <w:rFonts w:hint="eastAsia"/>
      </w:rPr>
      <w:t>月31日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5B1FF0"/>
    <w:rsid w:val="0002650B"/>
    <w:rsid w:val="00167807"/>
    <w:rsid w:val="0020175C"/>
    <w:rsid w:val="00486B80"/>
    <w:rsid w:val="00537314"/>
    <w:rsid w:val="00551B3A"/>
    <w:rsid w:val="00571026"/>
    <w:rsid w:val="00594419"/>
    <w:rsid w:val="005F491C"/>
    <w:rsid w:val="00610176"/>
    <w:rsid w:val="006C0D6E"/>
    <w:rsid w:val="006E1042"/>
    <w:rsid w:val="007E5742"/>
    <w:rsid w:val="009E13D3"/>
    <w:rsid w:val="00A01B39"/>
    <w:rsid w:val="00A14A3A"/>
    <w:rsid w:val="00A45F1F"/>
    <w:rsid w:val="00A819A9"/>
    <w:rsid w:val="00AD353B"/>
    <w:rsid w:val="00B22917"/>
    <w:rsid w:val="00B55061"/>
    <w:rsid w:val="00C8481C"/>
    <w:rsid w:val="00DF0E7A"/>
    <w:rsid w:val="00E62806"/>
    <w:rsid w:val="00EE34A4"/>
    <w:rsid w:val="142C12C0"/>
    <w:rsid w:val="165B1FF0"/>
    <w:rsid w:val="1BDD2391"/>
    <w:rsid w:val="2AC70D11"/>
    <w:rsid w:val="4989253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kern w:val="2"/>
      <w:sz w:val="18"/>
      <w:szCs w:val="18"/>
    </w:rPr>
  </w:style>
  <w:style w:type="character" w:customStyle="1" w:styleId="11">
    <w:name w:val="批注框文本 Char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795</Words>
  <Characters>906</Characters>
  <Lines>7</Lines>
  <Paragraphs>2</Paragraphs>
  <TotalTime>47</TotalTime>
  <ScaleCrop>false</ScaleCrop>
  <LinksUpToDate>false</LinksUpToDate>
  <CharactersWithSpaces>1017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2022-04-12T01:18:00Z</dcterms:created>
  <dc:creator>周永彬</dc:creator>
  <cp:lastModifiedBy>千滴水</cp:lastModifiedBy>
  <dcterms:modified xsi:type="dcterms:W3CDTF">2025-06-09T01:01:16Z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6C4ECA62A4B24944B1FBBC4A410F480E_13</vt:lpwstr>
  </property>
  <property fmtid="{D5CDD505-2E9C-101B-9397-08002B2CF9AE}" pid="4" name="KSOTemplateDocerSaveRecord">
    <vt:lpwstr>eyJoZGlkIjoiYWNkYmQxNDkxY2QxMDJlNGJmY2VhOTJjMjc1MjRmNTgiLCJ1c2VySWQiOiI3NzI3MDk5NjUifQ==</vt:lpwstr>
  </property>
</Properties>
</file>